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306"/>
      </w:tblGrid>
      <w:tr w:rsidR="006D0245" w:rsidRPr="006D0245" w:rsidTr="006D0245">
        <w:trPr>
          <w:tblCellSpacing w:w="0" w:type="dxa"/>
        </w:trPr>
        <w:tc>
          <w:tcPr>
            <w:tcW w:w="0" w:type="auto"/>
            <w:vAlign w:val="center"/>
            <w:hideMark/>
          </w:tcPr>
          <w:p w:rsidR="006D0245" w:rsidRPr="006D0245" w:rsidRDefault="006D0245" w:rsidP="006D0245">
            <w:pPr>
              <w:widowControl/>
              <w:spacing w:line="660" w:lineRule="atLeast"/>
              <w:jc w:val="center"/>
              <w:rPr>
                <w:rFonts w:ascii="微软雅黑" w:eastAsia="微软雅黑" w:hAnsi="微软雅黑" w:cs="宋体"/>
                <w:b/>
                <w:bCs/>
                <w:color w:val="000000"/>
                <w:kern w:val="0"/>
                <w:sz w:val="30"/>
                <w:szCs w:val="30"/>
              </w:rPr>
            </w:pPr>
            <w:bookmarkStart w:id="0" w:name="_GoBack"/>
            <w:r w:rsidRPr="006D0245">
              <w:rPr>
                <w:rFonts w:ascii="微软雅黑" w:eastAsia="微软雅黑" w:hAnsi="微软雅黑" w:cs="宋体" w:hint="eastAsia"/>
                <w:b/>
                <w:bCs/>
                <w:color w:val="000000"/>
                <w:kern w:val="0"/>
                <w:sz w:val="30"/>
                <w:szCs w:val="30"/>
              </w:rPr>
              <w:t>中国共产党党员权利保障条例</w:t>
            </w:r>
            <w:bookmarkEnd w:id="0"/>
          </w:p>
        </w:tc>
      </w:tr>
      <w:tr w:rsidR="006D0245" w:rsidRPr="006D0245" w:rsidTr="006D0245">
        <w:trPr>
          <w:tblCellSpacing w:w="0" w:type="dxa"/>
        </w:trPr>
        <w:tc>
          <w:tcPr>
            <w:tcW w:w="0" w:type="auto"/>
            <w:vAlign w:val="center"/>
            <w:hideMark/>
          </w:tcPr>
          <w:p w:rsidR="006D0245" w:rsidRPr="006D0245" w:rsidRDefault="006D0245" w:rsidP="006D0245">
            <w:pPr>
              <w:widowControl/>
              <w:spacing w:line="660" w:lineRule="atLeast"/>
              <w:jc w:val="center"/>
              <w:rPr>
                <w:rFonts w:ascii="微软雅黑" w:eastAsia="微软雅黑" w:hAnsi="微软雅黑" w:cs="宋体" w:hint="eastAsia"/>
                <w:b/>
                <w:bCs/>
                <w:color w:val="000000"/>
                <w:kern w:val="0"/>
                <w:sz w:val="30"/>
                <w:szCs w:val="30"/>
              </w:rPr>
            </w:pPr>
          </w:p>
        </w:tc>
      </w:tr>
      <w:tr w:rsidR="006D0245" w:rsidRPr="006D0245" w:rsidTr="006D0245">
        <w:trPr>
          <w:tblCellSpacing w:w="0" w:type="dxa"/>
        </w:trPr>
        <w:tc>
          <w:tcPr>
            <w:tcW w:w="0" w:type="auto"/>
            <w:vAlign w:val="center"/>
            <w:hideMark/>
          </w:tcPr>
          <w:p w:rsidR="006D0245" w:rsidRPr="006D0245" w:rsidRDefault="006D0245" w:rsidP="006D0245">
            <w:pPr>
              <w:widowControl/>
              <w:jc w:val="center"/>
              <w:rPr>
                <w:rFonts w:ascii="Times New Roman" w:eastAsia="Times New Roman" w:hAnsi="Times New Roman" w:cs="Times New Roman"/>
                <w:kern w:val="0"/>
                <w:sz w:val="20"/>
                <w:szCs w:val="20"/>
              </w:rPr>
            </w:pPr>
          </w:p>
        </w:tc>
      </w:tr>
      <w:tr w:rsidR="006D0245" w:rsidRPr="006D0245" w:rsidTr="006D0245">
        <w:trPr>
          <w:tblCellSpacing w:w="0" w:type="dxa"/>
        </w:trPr>
        <w:tc>
          <w:tcPr>
            <w:tcW w:w="0" w:type="auto"/>
            <w:vAlign w:val="center"/>
            <w:hideMark/>
          </w:tcPr>
          <w:p w:rsidR="006D0245" w:rsidRPr="006D0245" w:rsidRDefault="006D0245" w:rsidP="006D0245">
            <w:pPr>
              <w:widowControl/>
              <w:jc w:val="center"/>
              <w:rPr>
                <w:rFonts w:ascii="微软雅黑" w:eastAsia="微软雅黑" w:hAnsi="微软雅黑" w:cs="宋体"/>
                <w:color w:val="000000"/>
                <w:kern w:val="0"/>
                <w:sz w:val="18"/>
                <w:szCs w:val="18"/>
              </w:rPr>
            </w:pPr>
          </w:p>
        </w:tc>
      </w:tr>
      <w:tr w:rsidR="006D0245" w:rsidRPr="006D0245" w:rsidTr="006D0245">
        <w:trPr>
          <w:tblCellSpacing w:w="0" w:type="dxa"/>
        </w:trPr>
        <w:tc>
          <w:tcPr>
            <w:tcW w:w="0" w:type="auto"/>
            <w:vAlign w:val="center"/>
            <w:hideMark/>
          </w:tcPr>
          <w:p w:rsidR="006D0245" w:rsidRPr="006D0245" w:rsidRDefault="006D0245" w:rsidP="006D0245">
            <w:pPr>
              <w:widowControl/>
              <w:jc w:val="center"/>
              <w:rPr>
                <w:rFonts w:ascii="微软雅黑" w:eastAsia="微软雅黑" w:hAnsi="微软雅黑" w:cs="宋体"/>
                <w:color w:val="000000"/>
                <w:kern w:val="0"/>
                <w:sz w:val="18"/>
                <w:szCs w:val="18"/>
              </w:rPr>
            </w:pPr>
          </w:p>
        </w:tc>
      </w:tr>
    </w:tbl>
    <w:p w:rsidR="006D0245" w:rsidRPr="006D0245" w:rsidRDefault="006D0245" w:rsidP="006D0245">
      <w:pPr>
        <w:widowControl/>
        <w:jc w:val="left"/>
        <w:rPr>
          <w:rFonts w:ascii="宋体" w:eastAsia="宋体" w:hAnsi="宋体" w:cs="宋体"/>
          <w:vanish/>
          <w:kern w:val="0"/>
          <w:sz w:val="24"/>
          <w:szCs w:val="24"/>
        </w:rPr>
      </w:pPr>
    </w:p>
    <w:tbl>
      <w:tblPr>
        <w:tblW w:w="4650" w:type="pct"/>
        <w:tblCellSpacing w:w="60" w:type="dxa"/>
        <w:tblCellMar>
          <w:left w:w="0" w:type="dxa"/>
          <w:right w:w="0" w:type="dxa"/>
        </w:tblCellMar>
        <w:tblLook w:val="04A0" w:firstRow="1" w:lastRow="0" w:firstColumn="1" w:lastColumn="0" w:noHBand="0" w:noVBand="1"/>
      </w:tblPr>
      <w:tblGrid>
        <w:gridCol w:w="7725"/>
      </w:tblGrid>
      <w:tr w:rsidR="006D0245" w:rsidRPr="006D0245" w:rsidTr="006D0245">
        <w:trPr>
          <w:tblCellSpacing w:w="60" w:type="dxa"/>
        </w:trPr>
        <w:tc>
          <w:tcPr>
            <w:tcW w:w="0" w:type="auto"/>
            <w:vAlign w:val="center"/>
            <w:hideMark/>
          </w:tcPr>
          <w:p w:rsidR="006D0245" w:rsidRPr="006D0245" w:rsidRDefault="006D0245" w:rsidP="006D0245">
            <w:pPr>
              <w:widowControl/>
              <w:jc w:val="left"/>
              <w:rPr>
                <w:rFonts w:ascii="宋体" w:eastAsia="宋体" w:hAnsi="宋体" w:cs="宋体" w:hint="eastAsia"/>
                <w:kern w:val="0"/>
                <w:sz w:val="24"/>
                <w:szCs w:val="24"/>
              </w:rPr>
            </w:pPr>
          </w:p>
        </w:tc>
      </w:tr>
    </w:tbl>
    <w:p w:rsidR="006D0245" w:rsidRPr="006D0245" w:rsidRDefault="006D0245" w:rsidP="006D0245">
      <w:pPr>
        <w:widowControl/>
        <w:jc w:val="left"/>
        <w:rPr>
          <w:rFonts w:ascii="宋体" w:eastAsia="宋体" w:hAnsi="宋体" w:cs="宋体"/>
          <w:vanish/>
          <w:kern w:val="0"/>
          <w:sz w:val="24"/>
          <w:szCs w:val="24"/>
        </w:rPr>
      </w:pPr>
    </w:p>
    <w:tbl>
      <w:tblPr>
        <w:tblW w:w="4650" w:type="pct"/>
        <w:tblCellSpacing w:w="60" w:type="dxa"/>
        <w:tblCellMar>
          <w:left w:w="0" w:type="dxa"/>
          <w:right w:w="0" w:type="dxa"/>
        </w:tblCellMar>
        <w:tblLook w:val="04A0" w:firstRow="1" w:lastRow="0" w:firstColumn="1" w:lastColumn="0" w:noHBand="0" w:noVBand="1"/>
      </w:tblPr>
      <w:tblGrid>
        <w:gridCol w:w="7725"/>
      </w:tblGrid>
      <w:tr w:rsidR="006D0245" w:rsidRPr="006D0245" w:rsidTr="006D0245">
        <w:trPr>
          <w:tblCellSpacing w:w="60" w:type="dxa"/>
        </w:trPr>
        <w:tc>
          <w:tcPr>
            <w:tcW w:w="0" w:type="auto"/>
            <w:vAlign w:val="center"/>
            <w:hideMark/>
          </w:tcPr>
          <w:p w:rsidR="006D0245" w:rsidRPr="006D0245" w:rsidRDefault="006D0245" w:rsidP="006D0245">
            <w:pPr>
              <w:widowControl/>
              <w:spacing w:line="336" w:lineRule="atLeast"/>
              <w:jc w:val="left"/>
              <w:rPr>
                <w:rFonts w:ascii="微软雅黑" w:eastAsia="微软雅黑" w:hAnsi="微软雅黑" w:cs="宋体"/>
                <w:color w:val="000000"/>
                <w:kern w:val="0"/>
                <w:szCs w:val="21"/>
              </w:rPr>
            </w:pPr>
            <w:r w:rsidRPr="006D0245">
              <w:rPr>
                <w:rFonts w:ascii="微软雅黑" w:eastAsia="微软雅黑" w:hAnsi="微软雅黑" w:cs="宋体" w:hint="eastAsia"/>
                <w:color w:val="000000"/>
                <w:kern w:val="0"/>
                <w:szCs w:val="21"/>
              </w:rPr>
              <w:br/>
              <w:t xml:space="preserve">　　第一章  总则</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第一条  为了发展党内民主，健全党内生活，坚持民主集中制原则，增强党的生机活力，保障党员权利的正常行使和不受侵犯，根据《中国共产党章程》，制定本条例。</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第二条  党员享有的党章规定的各项权利必须受到尊重和保护，党的任何一级组织、任何党员都无权剥夺。</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第三条  坚持在党的纪律面前人人平等，不允许任何党员享有特权。</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第四条  坚持权利与义务相统一。党员应当正确行使党章规定的各项权利，并在宪法和法律的范围内活动，同时必须履行党章规定的义务，不得侵犯其他党员的权利。</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第五条  对任何侵犯党员权利的行为，都应当予以追究；情节严重的，必须给予党纪处分。对侵犯党员权利行为的认定和处理，应当以事实为根据，以党章和其他党内法规为准绳。</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lastRenderedPageBreak/>
              <w:t xml:space="preserve">　　第二章  党员权利</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第六条  党员有权参加党小组会、支部大会、党员大会以及与其担任的党内职务和代表资格相应的会议。党员因故不能到会的，应当履行请假手续。</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党员有权阅读按照规定可以阅读的党内文件。</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党员有权提出接受教育和培训的要求。党员接受教育和培训应当服从组织安排。</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第七条  党员有权在党的会议上参加关于党的政策和理论问题的讨论，并充分发表自己的意见。</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党员有权在党报党刊上参加党的中央和地方组织组织的关于党的政策和理论问题的讨论。</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党员在讨论党的政策和理论问题的过程中，应当自觉同党中央保持高度一致，不得公开发表与党的基本理论、基本路线、基本纲领和基本经验相违背的观点和意见。</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第八条  党员有权以口头或者书面方式对本地区、本部门、本单位的党组织、</w:t>
            </w:r>
            <w:r w:rsidRPr="006D0245">
              <w:rPr>
                <w:rFonts w:ascii="微软雅黑" w:eastAsia="微软雅黑" w:hAnsi="微软雅黑" w:cs="宋体" w:hint="eastAsia"/>
                <w:color w:val="000000"/>
                <w:kern w:val="0"/>
                <w:szCs w:val="21"/>
              </w:rPr>
              <w:lastRenderedPageBreak/>
              <w:t>上级党组织直至中央的各方面工作提出建议和倡议。</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第九条  党员有权在党的会议上以口头或者书面方式有根据地批评党的任何组织和任何党员。党员以书面方式提出的批评意见应当按照规定送被批评者或者有关党组织。</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党员有权向党组织负责地揭发、检举党的任何组织和任何党员的违法违纪事实；有权向所在党组织或者上级党组织提出处分有违法违纪行为党员的要求。</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党员有权向所在党组织或者上级党组织提出罢免或者撤换不称职党员领导干部职务的要求。</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党员在进行批评、揭发、检举以及提出处分或者罢免、撤换要求时，要按照组织原则，符合有关程序，不得随意扩散、传播，不得夸大和歪曲事实，更不得捏造事实、诬告陷害。</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第十条  党员有权在党组织讨论决定问题时按照规定参加表决。表决时可以表示赞成、不赞成或者弃权。</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每个正式党员都享有选举权和被选举权（受留党察看处分的党员除外）。参加选举的党员有权了解候选人情况、要求改变候选人、</w:t>
            </w:r>
            <w:proofErr w:type="gramStart"/>
            <w:r w:rsidRPr="006D0245">
              <w:rPr>
                <w:rFonts w:ascii="微软雅黑" w:eastAsia="微软雅黑" w:hAnsi="微软雅黑" w:cs="宋体" w:hint="eastAsia"/>
                <w:color w:val="000000"/>
                <w:kern w:val="0"/>
                <w:szCs w:val="21"/>
              </w:rPr>
              <w:t>不</w:t>
            </w:r>
            <w:proofErr w:type="gramEnd"/>
            <w:r w:rsidRPr="006D0245">
              <w:rPr>
                <w:rFonts w:ascii="微软雅黑" w:eastAsia="微软雅黑" w:hAnsi="微软雅黑" w:cs="宋体" w:hint="eastAsia"/>
                <w:color w:val="000000"/>
                <w:kern w:val="0"/>
                <w:szCs w:val="21"/>
              </w:rPr>
              <w:t>选任何一个候选人和另</w:t>
            </w:r>
            <w:r w:rsidRPr="006D0245">
              <w:rPr>
                <w:rFonts w:ascii="微软雅黑" w:eastAsia="微软雅黑" w:hAnsi="微软雅黑" w:cs="宋体" w:hint="eastAsia"/>
                <w:color w:val="000000"/>
                <w:kern w:val="0"/>
                <w:szCs w:val="21"/>
              </w:rPr>
              <w:lastRenderedPageBreak/>
              <w:t>选他人。</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党员有权经过规定程序成为候选人和当选。</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第十一条  在党组织讨论决定对党员的党纪处分或者</w:t>
            </w:r>
            <w:proofErr w:type="gramStart"/>
            <w:r w:rsidRPr="006D0245">
              <w:rPr>
                <w:rFonts w:ascii="微软雅黑" w:eastAsia="微软雅黑" w:hAnsi="微软雅黑" w:cs="宋体" w:hint="eastAsia"/>
                <w:color w:val="000000"/>
                <w:kern w:val="0"/>
                <w:szCs w:val="21"/>
              </w:rPr>
              <w:t>作出</w:t>
            </w:r>
            <w:proofErr w:type="gramEnd"/>
            <w:r w:rsidRPr="006D0245">
              <w:rPr>
                <w:rFonts w:ascii="微软雅黑" w:eastAsia="微软雅黑" w:hAnsi="微软雅黑" w:cs="宋体" w:hint="eastAsia"/>
                <w:color w:val="000000"/>
                <w:kern w:val="0"/>
                <w:szCs w:val="21"/>
              </w:rPr>
              <w:t>鉴定时，本人有权参加和进行申辩，其他党员可以为其作证和辩护。</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申辩、作证和辩护必须实事求是。</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第十二条  党员对党的决议和政策如有不同意见，在坚决执行的前提下，可以在党的会议上或者向党组织声明保留，并且可以把自己的意见向党的上级组织直至中央反映。党员不得公开发表同中央决定相反的意见。</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第十三条  党员在政治、工作、学习等方面遇到重要问题需要党组织帮助解决的，有权向本人所在党组织、上级党组织直至中央提出请求。</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对于党组织给予本人的处分、鉴定、审查结论或者其他处理不服的，有权向本人所在党组织、上级党组织直至中央提出申诉；党员认为党组织给予其他党员的处分、鉴定、审查结论或者其他处理不当的，有权逐级向党组织直至中央提出意见。</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lastRenderedPageBreak/>
              <w:t xml:space="preserve">　　党员的合法权益受到党组织或者其他党员侵害时，有权向本人所在党组织、上级党组织直至中央提出控告。</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党员有权要求有关党组织对其提出的请求、申诉和控告给予负责的答复。</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第三章  保障措施</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第十四条  党组织应当按照规定召开有关会议，并创造条件保障党员参加其有权参加的各种会议。会议的组织、召集者要将会议的召开时间、议题等适时通知应到会党员。</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第十五条  党组织应当为党员提供阅读党内有关文件的必要条件。党员因缺乏阅读能力或者其他原因无法直接阅读文件的，党组织要按照规定向其传达文件精神。</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第十六条  党组织应当采取多种形式有计划地对党员进行教育和培训，提高党员素质。</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第十七条  党的代表大会、代表会议和党的委员会全体会议以及其他重要会议召开后，党组织要按照规定将会议内容和精神向党员传达、通报。</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lastRenderedPageBreak/>
              <w:t xml:space="preserve">　　党组织</w:t>
            </w:r>
            <w:proofErr w:type="gramStart"/>
            <w:r w:rsidRPr="006D0245">
              <w:rPr>
                <w:rFonts w:ascii="微软雅黑" w:eastAsia="微软雅黑" w:hAnsi="微软雅黑" w:cs="宋体" w:hint="eastAsia"/>
                <w:color w:val="000000"/>
                <w:kern w:val="0"/>
                <w:szCs w:val="21"/>
              </w:rPr>
              <w:t>作出</w:t>
            </w:r>
            <w:proofErr w:type="gramEnd"/>
            <w:r w:rsidRPr="006D0245">
              <w:rPr>
                <w:rFonts w:ascii="微软雅黑" w:eastAsia="微软雅黑" w:hAnsi="微软雅黑" w:cs="宋体" w:hint="eastAsia"/>
                <w:color w:val="000000"/>
                <w:kern w:val="0"/>
                <w:szCs w:val="21"/>
              </w:rPr>
              <w:t>的决议、决定，按照规定及时向党员通报。</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第十八条  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党组织要支持和鼓励党员对党的工作提出建议和倡议。对于党员的建议和倡议，党组织应当认真听取、研究，合理的应当采纳；对改进工作有</w:t>
            </w:r>
            <w:proofErr w:type="gramStart"/>
            <w:r w:rsidRPr="006D0245">
              <w:rPr>
                <w:rFonts w:ascii="微软雅黑" w:eastAsia="微软雅黑" w:hAnsi="微软雅黑" w:cs="宋体" w:hint="eastAsia"/>
                <w:color w:val="000000"/>
                <w:kern w:val="0"/>
                <w:szCs w:val="21"/>
              </w:rPr>
              <w:t>重大帮助</w:t>
            </w:r>
            <w:proofErr w:type="gramEnd"/>
            <w:r w:rsidRPr="006D0245">
              <w:rPr>
                <w:rFonts w:ascii="微软雅黑" w:eastAsia="微软雅黑" w:hAnsi="微软雅黑" w:cs="宋体" w:hint="eastAsia"/>
                <w:color w:val="000000"/>
                <w:kern w:val="0"/>
                <w:szCs w:val="21"/>
              </w:rPr>
              <w:t>的，应对提出建议和倡议的党员给予表扬或者奖励。</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党组织要认真听取各种不同意见。对于持有不同意见的党员，只要本人坚决执行党的决议和政策，就不得对其歧视或者进行追究；对于持有错误意见的党员，应当对其进行帮助、教育。</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第十九条  党组织应当鼓励党员在党内开展批评和自我批评，支持和保护党员同各种违法违纪行为和不正之风作斗争。对于党员的批评、揭发、检举、控告以及提出的有关处分和罢免、撤换要求，党组织要按照规定及时处理。</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党组织要建立健全保护揭发、检举人权益的制度。对揭发、检举人以及揭发、检举的内容必须严格保密，严禁将检举、控告材料转给被检举、被控告的组</w:t>
            </w:r>
            <w:r w:rsidRPr="006D0245">
              <w:rPr>
                <w:rFonts w:ascii="微软雅黑" w:eastAsia="微软雅黑" w:hAnsi="微软雅黑" w:cs="宋体" w:hint="eastAsia"/>
                <w:color w:val="000000"/>
                <w:kern w:val="0"/>
                <w:szCs w:val="21"/>
              </w:rPr>
              <w:lastRenderedPageBreak/>
              <w:t>织和人员；严禁对揭发、检举人和控告人歧视、刁难、压制，严禁各种形式的打击报复。</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党组织</w:t>
            </w:r>
            <w:proofErr w:type="gramStart"/>
            <w:r w:rsidRPr="006D0245">
              <w:rPr>
                <w:rFonts w:ascii="微软雅黑" w:eastAsia="微软雅黑" w:hAnsi="微软雅黑" w:cs="宋体" w:hint="eastAsia"/>
                <w:color w:val="000000"/>
                <w:kern w:val="0"/>
                <w:szCs w:val="21"/>
              </w:rPr>
              <w:t>对于署</w:t>
            </w:r>
            <w:proofErr w:type="gramEnd"/>
            <w:r w:rsidRPr="006D0245">
              <w:rPr>
                <w:rFonts w:ascii="微软雅黑" w:eastAsia="微软雅黑" w:hAnsi="微软雅黑" w:cs="宋体" w:hint="eastAsia"/>
                <w:color w:val="000000"/>
                <w:kern w:val="0"/>
                <w:szCs w:val="21"/>
              </w:rPr>
              <w:t>真实姓名的揭发、检举人，应以适当方式回访或者回函并告知其处理结果；对揭发、检举严重违法违纪问题经查证属实的，给予表扬或者奖励。</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组织对于不负责地揭发、检举、控告以及提出处分和罢免、撤换要求的，给予批评教育；对于捏造事实、诬告陷害他人的，依纪依法严肃处理。对于受到错告或者诬告的党员，应当澄清事实，并在一定范围内公布。</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第二十条  党组织讨论决定问题，必须执行少数服从多数的原则。决定重要问题，要进行表决。根据不同情况，表决可以采取口头、举手和投票等方式，表决结果和表决方式应记录在案。对不同意见要如实记录。</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党组织</w:t>
            </w:r>
            <w:proofErr w:type="gramStart"/>
            <w:r w:rsidRPr="006D0245">
              <w:rPr>
                <w:rFonts w:ascii="微软雅黑" w:eastAsia="微软雅黑" w:hAnsi="微软雅黑" w:cs="宋体" w:hint="eastAsia"/>
                <w:color w:val="000000"/>
                <w:kern w:val="0"/>
                <w:szCs w:val="21"/>
              </w:rPr>
              <w:t>作出</w:t>
            </w:r>
            <w:proofErr w:type="gramEnd"/>
            <w:r w:rsidRPr="006D0245">
              <w:rPr>
                <w:rFonts w:ascii="微软雅黑" w:eastAsia="微软雅黑" w:hAnsi="微软雅黑" w:cs="宋体" w:hint="eastAsia"/>
                <w:color w:val="000000"/>
                <w:kern w:val="0"/>
                <w:szCs w:val="21"/>
              </w:rPr>
              <w:t>重要决议、决定前，应当以适当方式在一定范围内征询党员意</w:t>
            </w:r>
            <w:r w:rsidRPr="006D0245">
              <w:rPr>
                <w:rFonts w:ascii="微软雅黑" w:eastAsia="微软雅黑" w:hAnsi="微软雅黑" w:cs="宋体" w:hint="eastAsia"/>
                <w:color w:val="000000"/>
                <w:kern w:val="0"/>
                <w:szCs w:val="21"/>
              </w:rPr>
              <w:lastRenderedPageBreak/>
              <w:t>见。对于多数党员有不同意见或者存在重大分歧的，暂缓</w:t>
            </w:r>
            <w:proofErr w:type="gramStart"/>
            <w:r w:rsidRPr="006D0245">
              <w:rPr>
                <w:rFonts w:ascii="微软雅黑" w:eastAsia="微软雅黑" w:hAnsi="微软雅黑" w:cs="宋体" w:hint="eastAsia"/>
                <w:color w:val="000000"/>
                <w:kern w:val="0"/>
                <w:szCs w:val="21"/>
              </w:rPr>
              <w:t>作出</w:t>
            </w:r>
            <w:proofErr w:type="gramEnd"/>
            <w:r w:rsidRPr="006D0245">
              <w:rPr>
                <w:rFonts w:ascii="微软雅黑" w:eastAsia="微软雅黑" w:hAnsi="微软雅黑" w:cs="宋体" w:hint="eastAsia"/>
                <w:color w:val="000000"/>
                <w:kern w:val="0"/>
                <w:szCs w:val="21"/>
              </w:rPr>
              <w:t>决定，进一步调查研究，交换意见，提交下次会议表决。</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党的委员会及其组织部门、党的纪律检查委员会对下级党组织的表决情况进行监督检查，对于没有按照规定进行表决的，应当予以纠正。</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第二十一条  党组织进行选举时，应当充分体现选举人的意志。选举采用无记名投票的方式。候选人名单要由党组织和选举人充分酝酿讨论，对候选人的情况应向选举人作介绍。对候选人可以投赞成票、可以投</w:t>
            </w:r>
            <w:proofErr w:type="gramStart"/>
            <w:r w:rsidRPr="006D0245">
              <w:rPr>
                <w:rFonts w:ascii="微软雅黑" w:eastAsia="微软雅黑" w:hAnsi="微软雅黑" w:cs="宋体" w:hint="eastAsia"/>
                <w:color w:val="000000"/>
                <w:kern w:val="0"/>
                <w:szCs w:val="21"/>
              </w:rPr>
              <w:t>不</w:t>
            </w:r>
            <w:proofErr w:type="gramEnd"/>
            <w:r w:rsidRPr="006D0245">
              <w:rPr>
                <w:rFonts w:ascii="微软雅黑" w:eastAsia="微软雅黑" w:hAnsi="微软雅黑" w:cs="宋体" w:hint="eastAsia"/>
                <w:color w:val="000000"/>
                <w:kern w:val="0"/>
                <w:szCs w:val="21"/>
              </w:rPr>
              <w:t>赞成票，也可以弃权。投</w:t>
            </w:r>
            <w:proofErr w:type="gramStart"/>
            <w:r w:rsidRPr="006D0245">
              <w:rPr>
                <w:rFonts w:ascii="微软雅黑" w:eastAsia="微软雅黑" w:hAnsi="微软雅黑" w:cs="宋体" w:hint="eastAsia"/>
                <w:color w:val="000000"/>
                <w:kern w:val="0"/>
                <w:szCs w:val="21"/>
              </w:rPr>
              <w:t>不</w:t>
            </w:r>
            <w:proofErr w:type="gramEnd"/>
            <w:r w:rsidRPr="006D0245">
              <w:rPr>
                <w:rFonts w:ascii="微软雅黑" w:eastAsia="微软雅黑" w:hAnsi="微软雅黑" w:cs="宋体" w:hint="eastAsia"/>
                <w:color w:val="000000"/>
                <w:kern w:val="0"/>
                <w:szCs w:val="21"/>
              </w:rPr>
              <w:t>赞成票者可以另选他人。</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的任何组织和任何党员不得以任何方式妨碍党员在党内自主行使选举权和被选举权，不得阻挠有选举权和被选举权的人到场，不得强迫选举人选举或者不选举某个人，不得搞非组织活动妨碍选举，不得以任何方式追查选举人的投票意向。</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第二十二条  党组织对党员</w:t>
            </w:r>
            <w:proofErr w:type="gramStart"/>
            <w:r w:rsidRPr="006D0245">
              <w:rPr>
                <w:rFonts w:ascii="微软雅黑" w:eastAsia="微软雅黑" w:hAnsi="微软雅黑" w:cs="宋体" w:hint="eastAsia"/>
                <w:color w:val="000000"/>
                <w:kern w:val="0"/>
                <w:szCs w:val="21"/>
              </w:rPr>
              <w:t>作出</w:t>
            </w:r>
            <w:proofErr w:type="gramEnd"/>
            <w:r w:rsidRPr="006D0245">
              <w:rPr>
                <w:rFonts w:ascii="微软雅黑" w:eastAsia="微软雅黑" w:hAnsi="微软雅黑" w:cs="宋体" w:hint="eastAsia"/>
                <w:color w:val="000000"/>
                <w:kern w:val="0"/>
                <w:szCs w:val="21"/>
              </w:rPr>
              <w:t>处分决定所依据的事实材料和处分决定必须同本人见面，听取本人说明情况和申辩。对于党员的申辩及其他党员为其所作的证明和辩护，有关党组织要认真听取、如实记录，并进一步核实，采纳其合理意见；不予采纳的，要向本人说明理由。党员实事求是的申辩、作证和辩护，应当受到保护。</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lastRenderedPageBreak/>
              <w:br/>
              <w:t xml:space="preserve">　　处分决定应当写明党员享有的申诉权以及受理申诉的组织等内容并由受处分党员签署意见。本人对处分决定有不同意见的，可以提出申诉；拒不签署意见或者因其他原因不能签署意见的，党组织要在处分决定上注明。</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第二十三条  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第二十四条  党组织要认真处理党员的申诉。对于党员的申诉，有关党组织要按照规定进行复议、复查，不得扣压。上级党组织认为必要时，可以直接或者指定有关党组织进行复议、复查。</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经复议、复查或者审查决定，对于全部或者部分纠正的案件，重新</w:t>
            </w:r>
            <w:proofErr w:type="gramStart"/>
            <w:r w:rsidRPr="006D0245">
              <w:rPr>
                <w:rFonts w:ascii="微软雅黑" w:eastAsia="微软雅黑" w:hAnsi="微软雅黑" w:cs="宋体" w:hint="eastAsia"/>
                <w:color w:val="000000"/>
                <w:kern w:val="0"/>
                <w:szCs w:val="21"/>
              </w:rPr>
              <w:t>作出</w:t>
            </w:r>
            <w:proofErr w:type="gramEnd"/>
            <w:r w:rsidRPr="006D0245">
              <w:rPr>
                <w:rFonts w:ascii="微软雅黑" w:eastAsia="微软雅黑" w:hAnsi="微软雅黑" w:cs="宋体" w:hint="eastAsia"/>
                <w:color w:val="000000"/>
                <w:kern w:val="0"/>
                <w:szCs w:val="21"/>
              </w:rPr>
              <w:t>的决定应当在一定范围内宣布。对于处理正确而本人拒不接受的，给予批评教育；对于无正当理由反复申诉的，有关党组织应当正式通知本人不再受理并在适当范围内宣布。</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党员对于党组织给予其他党员的处分、鉴定、审查结论或者其他处理提出的意见，有关党组织应认真研究处理。</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lastRenderedPageBreak/>
              <w:br/>
              <w:t xml:space="preserve">　　第二十五条  党组织对涉嫌违纪党员的检查和处理，必须既坚决又慎重，严格遵守有关规定，依纪依法进行。</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建立执纪过错或者错案责任追究制。对于在执纪过程中有违纪行为或者其他过错的，应当批评纠正；情节严重的，应当追究有关责任者的责任。</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第二十六条  党组织对于党员提出的请求，要及时受理。根据具体问题，有的要及时解决，有的要说明情况，有的要进行说服教育。</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第二十七条  企业、农村和街道、社区等党的基层组织应注意维护流动党员的民主权利，保障其正常行使。</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第二十八条  对于确有实际困难的党员，其所在基层党组织或者上级党组织可以给予适当帮助并鼓励党员之间开展互助，为党员正常行使权利创造条件。</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第四章  责任追究</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第二十九条  党的各级组织应当严格执行党员权利保障方面的方针、政策和党内法规，贯彻落实上级党组织和同级党的代表大会关于党员权利保障方面的决议、决定；明确同级纪委和党委工作部门、直属机构、派出机关以及相当于这一</w:t>
            </w:r>
            <w:r w:rsidRPr="006D0245">
              <w:rPr>
                <w:rFonts w:ascii="微软雅黑" w:eastAsia="微软雅黑" w:hAnsi="微软雅黑" w:cs="宋体" w:hint="eastAsia"/>
                <w:color w:val="000000"/>
                <w:kern w:val="0"/>
                <w:szCs w:val="21"/>
              </w:rPr>
              <w:lastRenderedPageBreak/>
              <w:t>级别的党组（党委）在党员权利保障方面的任务和要求；督促下级党组织和党的领导干部切实履行党员权利保障方面的职责，宣传党员权利保障方面的方针、政策和党内法规，教育和引导广大党员正确行使权利。</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第三十条  党的各级纪律检查机关在同级党委和上级纪委领导下，做好党员权利保障工作，受理有关党员权利保障方面的检举、控告和申诉，检查和处理侵犯党员权利方面的案件，对党的领导干部和下级党组织履行党员权利保障职责的情况进行监督检查。</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第三十一条  党的组织、宣传等工作部门要按照党章和其他党内法规的规定以及上级党组织的要求，结合自身职能和实际工作，抓好党员权利保障工作的落实；研究解决职责范围</w:t>
            </w:r>
            <w:proofErr w:type="gramStart"/>
            <w:r w:rsidRPr="006D0245">
              <w:rPr>
                <w:rFonts w:ascii="微软雅黑" w:eastAsia="微软雅黑" w:hAnsi="微软雅黑" w:cs="宋体" w:hint="eastAsia"/>
                <w:color w:val="000000"/>
                <w:kern w:val="0"/>
                <w:szCs w:val="21"/>
              </w:rPr>
              <w:t>内党员</w:t>
            </w:r>
            <w:proofErr w:type="gramEnd"/>
            <w:r w:rsidRPr="006D0245">
              <w:rPr>
                <w:rFonts w:ascii="微软雅黑" w:eastAsia="微软雅黑" w:hAnsi="微软雅黑" w:cs="宋体" w:hint="eastAsia"/>
                <w:color w:val="000000"/>
                <w:kern w:val="0"/>
                <w:szCs w:val="21"/>
              </w:rPr>
              <w:t>权利保障方面的重要问题，向同级党组织提出贯彻落实党员权利保障方面的意见和措施，为保障党员权利的正常行使创造条件、提供服务。</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第三十二条  党的各级领导干部应模范遵守和严格执行党员权利保障方面的规定；充分尊重和关心党员权利，重视处理和解决党员权利保障方面的实际问题；采取切实措施抓好本地区、本部门、本单位党员权利保障工作的落实。</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第三十三条  保障党员权利是党的各级组织和各级领导干部的重要职责。对于在保障党员权利方面失职、渎职的，按照规定追究有关责任者的责任。</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lastRenderedPageBreak/>
              <w:br/>
              <w:t xml:space="preserve">　　第三十四条  对侵犯党员权利行为的处理是保障党员权利的重要环节。对于有侵犯党员权利行为的党员，其所在党组织或者上级党组织可以采取责令停止侵权行为、责令赔礼道歉、责令</w:t>
            </w:r>
            <w:proofErr w:type="gramStart"/>
            <w:r w:rsidRPr="006D0245">
              <w:rPr>
                <w:rFonts w:ascii="微软雅黑" w:eastAsia="微软雅黑" w:hAnsi="微软雅黑" w:cs="宋体" w:hint="eastAsia"/>
                <w:color w:val="000000"/>
                <w:kern w:val="0"/>
                <w:szCs w:val="21"/>
              </w:rPr>
              <w:t>作出</w:t>
            </w:r>
            <w:proofErr w:type="gramEnd"/>
            <w:r w:rsidRPr="006D0245">
              <w:rPr>
                <w:rFonts w:ascii="微软雅黑" w:eastAsia="微软雅黑" w:hAnsi="微软雅黑" w:cs="宋体" w:hint="eastAsia"/>
                <w:color w:val="000000"/>
                <w:kern w:val="0"/>
                <w:szCs w:val="21"/>
              </w:rPr>
              <w:t>检查、诫勉谈话、通报批评等方式给</w:t>
            </w:r>
            <w:proofErr w:type="gramStart"/>
            <w:r w:rsidRPr="006D0245">
              <w:rPr>
                <w:rFonts w:ascii="微软雅黑" w:eastAsia="微软雅黑" w:hAnsi="微软雅黑" w:cs="宋体" w:hint="eastAsia"/>
                <w:color w:val="000000"/>
                <w:kern w:val="0"/>
                <w:szCs w:val="21"/>
              </w:rPr>
              <w:t>予处理</w:t>
            </w:r>
            <w:proofErr w:type="gramEnd"/>
            <w:r w:rsidRPr="006D0245">
              <w:rPr>
                <w:rFonts w:ascii="微软雅黑" w:eastAsia="微软雅黑" w:hAnsi="微软雅黑" w:cs="宋体" w:hint="eastAsia"/>
                <w:color w:val="000000"/>
                <w:kern w:val="0"/>
                <w:szCs w:val="21"/>
              </w:rPr>
              <w:t>；情节较重的，按照规定给予党纪处分。</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对于有侵犯党员权利行为的党组织，上级党组织应当对有关责任者进行批评教育；情节严重的，按照规定追究有关责任者的责任。</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本条第一款规定的处理方式可以独立使用，也可以合并使用或者与党纪处分合并使用。</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第三十五条  对于因侵犯党员权利受到党纪追究的党员或者在保障党员权利方面失职、渎职受到党纪追究的党的领导干部，需要给予行政处分或者其他纪律处分的，</w:t>
            </w:r>
            <w:proofErr w:type="gramStart"/>
            <w:r w:rsidRPr="006D0245">
              <w:rPr>
                <w:rFonts w:ascii="微软雅黑" w:eastAsia="微软雅黑" w:hAnsi="微软雅黑" w:cs="宋体" w:hint="eastAsia"/>
                <w:color w:val="000000"/>
                <w:kern w:val="0"/>
                <w:szCs w:val="21"/>
              </w:rPr>
              <w:t>作出</w:t>
            </w:r>
            <w:proofErr w:type="gramEnd"/>
            <w:r w:rsidRPr="006D0245">
              <w:rPr>
                <w:rFonts w:ascii="微软雅黑" w:eastAsia="微软雅黑" w:hAnsi="微软雅黑" w:cs="宋体" w:hint="eastAsia"/>
                <w:color w:val="000000"/>
                <w:kern w:val="0"/>
                <w:szCs w:val="21"/>
              </w:rPr>
              <w:t>或者批准</w:t>
            </w:r>
            <w:proofErr w:type="gramStart"/>
            <w:r w:rsidRPr="006D0245">
              <w:rPr>
                <w:rFonts w:ascii="微软雅黑" w:eastAsia="微软雅黑" w:hAnsi="微软雅黑" w:cs="宋体" w:hint="eastAsia"/>
                <w:color w:val="000000"/>
                <w:kern w:val="0"/>
                <w:szCs w:val="21"/>
              </w:rPr>
              <w:t>作出</w:t>
            </w:r>
            <w:proofErr w:type="gramEnd"/>
            <w:r w:rsidRPr="006D0245">
              <w:rPr>
                <w:rFonts w:ascii="微软雅黑" w:eastAsia="微软雅黑" w:hAnsi="微软雅黑" w:cs="宋体" w:hint="eastAsia"/>
                <w:color w:val="000000"/>
                <w:kern w:val="0"/>
                <w:szCs w:val="21"/>
              </w:rPr>
              <w:t>处理决定的党组织应当向监察机关或者其他有关机关、组织提出建议；涉嫌犯罪的，由司法机关处理。</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第五章  附则</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第三十六条  各省、自治区、直辖市党委，可以根据本条例，结合各自工作的实际情况，制定实施细则，并报中央备案。</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lastRenderedPageBreak/>
              <w:br/>
              <w:t xml:space="preserve">　　中央军委可以根据本条例，结合中国人民解放军和中国人民武装警察部队的实际情况，制定实施细则或者补充规定。</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第三十七条  本条例由中央纪委商中央组织部解释。</w:t>
            </w:r>
            <w:r w:rsidRPr="006D0245">
              <w:rPr>
                <w:rFonts w:ascii="微软雅黑" w:eastAsia="微软雅黑" w:hAnsi="微软雅黑" w:cs="宋体" w:hint="eastAsia"/>
                <w:color w:val="000000"/>
                <w:kern w:val="0"/>
                <w:szCs w:val="21"/>
              </w:rPr>
              <w:br/>
            </w:r>
            <w:r w:rsidRPr="006D0245">
              <w:rPr>
                <w:rFonts w:ascii="微软雅黑" w:eastAsia="微软雅黑" w:hAnsi="微软雅黑" w:cs="宋体" w:hint="eastAsia"/>
                <w:color w:val="000000"/>
                <w:kern w:val="0"/>
                <w:szCs w:val="21"/>
              </w:rPr>
              <w:br/>
              <w:t xml:space="preserve">　　第三十八条  本条例自发布之日起施行。《中国共产党党员权利保障条例（试行）》同时废止。</w:t>
            </w:r>
          </w:p>
        </w:tc>
      </w:tr>
    </w:tbl>
    <w:p w:rsidR="00E666AC" w:rsidRDefault="006D0245"/>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45"/>
    <w:rsid w:val="006D0245"/>
    <w:rsid w:val="00AD5009"/>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3F67"/>
  <w15:chartTrackingRefBased/>
  <w15:docId w15:val="{85209771-25EE-4625-A512-336D60CE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0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2020-09-29T02:58:00Z</dcterms:created>
  <dcterms:modified xsi:type="dcterms:W3CDTF">2020-09-29T02:58:00Z</dcterms:modified>
</cp:coreProperties>
</file>