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70E4" w14:textId="77777777" w:rsidR="00E619BC" w:rsidRDefault="001B6ED8">
      <w:pPr>
        <w:jc w:val="center"/>
        <w:rPr>
          <w:rFonts w:ascii="宋体" w:eastAsia="宋体" w:hAnsi="宋体" w:cs="Times New Roman"/>
          <w:b/>
          <w:sz w:val="44"/>
          <w:szCs w:val="44"/>
        </w:rPr>
      </w:pPr>
      <w:r>
        <w:rPr>
          <w:rFonts w:ascii="宋体" w:eastAsia="宋体" w:hAnsi="宋体" w:cs="Times New Roman"/>
          <w:b/>
          <w:sz w:val="44"/>
          <w:szCs w:val="44"/>
        </w:rPr>
        <w:t>2022</w:t>
      </w:r>
      <w:r>
        <w:rPr>
          <w:rFonts w:ascii="宋体" w:eastAsia="宋体" w:hAnsi="宋体" w:cs="Times New Roman" w:hint="eastAsia"/>
          <w:b/>
          <w:sz w:val="44"/>
          <w:szCs w:val="44"/>
        </w:rPr>
        <w:t>年医学院推免研究生选拔办法</w:t>
      </w:r>
    </w:p>
    <w:p w14:paraId="126C8684" w14:textId="77777777" w:rsidR="00E619BC" w:rsidRDefault="00E619BC">
      <w:pPr>
        <w:rPr>
          <w:rFonts w:ascii="宋体" w:eastAsia="宋体" w:hAnsi="宋体" w:cs="Times New Roman"/>
          <w:b/>
          <w:sz w:val="44"/>
          <w:szCs w:val="44"/>
        </w:rPr>
      </w:pPr>
    </w:p>
    <w:p w14:paraId="68712575" w14:textId="77777777" w:rsidR="00E619BC" w:rsidRDefault="001B6ED8">
      <w:pPr>
        <w:spacing w:afterLines="50" w:after="156" w:line="480" w:lineRule="auto"/>
        <w:rPr>
          <w:rFonts w:ascii="仿宋" w:eastAsia="仿宋" w:hAnsi="仿宋" w:cs="Times New Roman"/>
          <w:sz w:val="32"/>
          <w:szCs w:val="32"/>
        </w:rPr>
      </w:pPr>
      <w:r>
        <w:rPr>
          <w:rFonts w:ascii="仿宋" w:eastAsia="仿宋" w:hAnsi="仿宋" w:cs="Times New Roman"/>
          <w:b/>
          <w:sz w:val="32"/>
          <w:szCs w:val="32"/>
        </w:rPr>
        <w:t>2022</w:t>
      </w:r>
      <w:r>
        <w:rPr>
          <w:rFonts w:ascii="仿宋" w:eastAsia="仿宋" w:hAnsi="仿宋" w:cs="Times New Roman" w:hint="eastAsia"/>
          <w:b/>
          <w:sz w:val="32"/>
          <w:szCs w:val="32"/>
        </w:rPr>
        <w:t>年组长：</w:t>
      </w:r>
      <w:r>
        <w:rPr>
          <w:rFonts w:ascii="仿宋" w:eastAsia="仿宋" w:hAnsi="仿宋" w:cs="Times New Roman"/>
          <w:sz w:val="32"/>
          <w:szCs w:val="32"/>
        </w:rPr>
        <w:t xml:space="preserve"> </w:t>
      </w:r>
      <w:r>
        <w:rPr>
          <w:rFonts w:ascii="仿宋" w:eastAsia="仿宋" w:hAnsi="仿宋" w:cs="Times New Roman" w:hint="eastAsia"/>
          <w:sz w:val="32"/>
          <w:szCs w:val="32"/>
        </w:rPr>
        <w:t>张文勇</w:t>
      </w:r>
    </w:p>
    <w:p w14:paraId="57B6D97C" w14:textId="77777777" w:rsidR="00E619BC" w:rsidRDefault="001B6ED8">
      <w:pPr>
        <w:spacing w:line="480" w:lineRule="auto"/>
        <w:rPr>
          <w:rFonts w:ascii="仿宋" w:eastAsia="仿宋" w:hAnsi="仿宋" w:cs="Times New Roman"/>
          <w:b/>
          <w:sz w:val="32"/>
          <w:szCs w:val="32"/>
        </w:rPr>
      </w:pPr>
      <w:r>
        <w:rPr>
          <w:rFonts w:ascii="仿宋" w:eastAsia="仿宋" w:hAnsi="仿宋" w:cs="Times New Roman" w:hint="eastAsia"/>
          <w:b/>
          <w:bCs/>
          <w:sz w:val="32"/>
          <w:szCs w:val="32"/>
        </w:rPr>
        <w:t>副组长：</w:t>
      </w:r>
      <w:r>
        <w:rPr>
          <w:rFonts w:ascii="仿宋" w:eastAsia="仿宋" w:hAnsi="仿宋" w:cs="Times New Roman" w:hint="eastAsia"/>
          <w:sz w:val="32"/>
          <w:szCs w:val="32"/>
        </w:rPr>
        <w:t>刘泉</w:t>
      </w:r>
    </w:p>
    <w:p w14:paraId="1CC25E0A" w14:textId="77777777" w:rsidR="00E619BC" w:rsidRDefault="001B6ED8">
      <w:pPr>
        <w:spacing w:line="480" w:lineRule="auto"/>
        <w:rPr>
          <w:rFonts w:ascii="仿宋" w:eastAsia="仿宋" w:hAnsi="仿宋" w:cs="Times New Roman"/>
          <w:sz w:val="32"/>
          <w:szCs w:val="32"/>
        </w:rPr>
      </w:pPr>
      <w:r>
        <w:rPr>
          <w:rFonts w:ascii="仿宋" w:eastAsia="仿宋" w:hAnsi="仿宋" w:cs="Times New Roman" w:hint="eastAsia"/>
          <w:b/>
          <w:sz w:val="32"/>
          <w:szCs w:val="32"/>
        </w:rPr>
        <w:t>2022年推免工作小组成员</w:t>
      </w:r>
      <w:r>
        <w:rPr>
          <w:rFonts w:ascii="仿宋" w:eastAsia="仿宋" w:hAnsi="仿宋" w:cs="Times New Roman" w:hint="eastAsia"/>
          <w:sz w:val="32"/>
          <w:szCs w:val="32"/>
        </w:rPr>
        <w:t>：邢明照、肖国芝、董金堂、宋学军、饶海、卞劲松、王玉琨、张健、杨亮、任欢、陈国安、王林、杜长征、肖坚</w:t>
      </w:r>
    </w:p>
    <w:p w14:paraId="679E6000" w14:textId="77777777" w:rsidR="00E619BC" w:rsidRDefault="00E619BC">
      <w:pPr>
        <w:spacing w:line="480" w:lineRule="auto"/>
        <w:rPr>
          <w:rFonts w:ascii="仿宋" w:eastAsia="仿宋" w:hAnsi="仿宋" w:cs="Times New Roman"/>
          <w:b/>
          <w:sz w:val="32"/>
          <w:szCs w:val="32"/>
        </w:rPr>
      </w:pPr>
    </w:p>
    <w:p w14:paraId="41D5CCF2" w14:textId="77777777" w:rsidR="00E619BC" w:rsidRDefault="001B6ED8">
      <w:pPr>
        <w:spacing w:line="480" w:lineRule="auto"/>
        <w:rPr>
          <w:rFonts w:ascii="仿宋" w:eastAsia="仿宋" w:hAnsi="仿宋" w:cs="Times New Roman"/>
          <w:sz w:val="32"/>
          <w:szCs w:val="32"/>
        </w:rPr>
      </w:pPr>
      <w:r>
        <w:rPr>
          <w:rFonts w:ascii="仿宋" w:eastAsia="仿宋" w:hAnsi="仿宋" w:cs="Times New Roman" w:hint="eastAsia"/>
          <w:b/>
          <w:sz w:val="32"/>
          <w:szCs w:val="32"/>
        </w:rPr>
        <w:t>申请对象：</w:t>
      </w:r>
      <w:r>
        <w:rPr>
          <w:rFonts w:ascii="仿宋" w:eastAsia="仿宋" w:hAnsi="仿宋" w:cs="Times New Roman"/>
          <w:sz w:val="32"/>
          <w:szCs w:val="32"/>
        </w:rPr>
        <w:t>2023</w:t>
      </w:r>
      <w:r>
        <w:rPr>
          <w:rFonts w:ascii="仿宋" w:eastAsia="仿宋" w:hAnsi="仿宋" w:cs="Times New Roman" w:hint="eastAsia"/>
          <w:sz w:val="32"/>
          <w:szCs w:val="32"/>
        </w:rPr>
        <w:t>届本科应届毕业生</w:t>
      </w:r>
      <w:bookmarkStart w:id="0" w:name="_Hlk86234962"/>
      <w:r>
        <w:rPr>
          <w:rFonts w:ascii="仿宋" w:eastAsia="仿宋" w:hAnsi="仿宋" w:cs="Times New Roman" w:hint="eastAsia"/>
          <w:sz w:val="32"/>
          <w:szCs w:val="32"/>
        </w:rPr>
        <w:t>（延毕生不能参加），且满足以下情况者：</w:t>
      </w:r>
    </w:p>
    <w:p w14:paraId="42243DCD" w14:textId="77777777" w:rsidR="00E619BC" w:rsidRDefault="001B6ED8">
      <w:pPr>
        <w:spacing w:line="360" w:lineRule="auto"/>
        <w:rPr>
          <w:rFonts w:ascii="仿宋" w:eastAsia="仿宋" w:hAnsi="仿宋" w:cs="Times New Roman"/>
          <w:sz w:val="32"/>
          <w:szCs w:val="32"/>
        </w:rPr>
      </w:pPr>
      <w:r>
        <w:rPr>
          <w:rFonts w:ascii="仿宋" w:eastAsia="仿宋" w:hAnsi="仿宋" w:cs="Times New Roman" w:hint="eastAsia"/>
          <w:sz w:val="32"/>
          <w:szCs w:val="32"/>
        </w:rPr>
        <w:t>1、承诺无海外留学计划；</w:t>
      </w:r>
    </w:p>
    <w:p w14:paraId="0363ABCE" w14:textId="77777777" w:rsidR="00E619BC" w:rsidRDefault="001B6ED8">
      <w:pPr>
        <w:spacing w:line="360" w:lineRule="auto"/>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、在校或在外学习期间无违规违纪情况；</w:t>
      </w:r>
    </w:p>
    <w:p w14:paraId="21C2B882" w14:textId="77777777" w:rsidR="00E619BC" w:rsidRDefault="001B6ED8">
      <w:pPr>
        <w:spacing w:line="360" w:lineRule="auto"/>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、在科学研究中无学术不端行为；</w:t>
      </w:r>
    </w:p>
    <w:p w14:paraId="462D0F52" w14:textId="77777777" w:rsidR="00E619BC" w:rsidRDefault="001B6ED8">
      <w:pPr>
        <w:spacing w:line="360" w:lineRule="auto"/>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、无公开发表不当言论及参加非法组织及活动；</w:t>
      </w:r>
    </w:p>
    <w:p w14:paraId="49B18A31" w14:textId="77777777" w:rsidR="00E619BC" w:rsidRDefault="001B6ED8">
      <w:pPr>
        <w:spacing w:line="360" w:lineRule="auto"/>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、无受到学校、书院或学院通报批评及以上处分；</w:t>
      </w:r>
      <w:bookmarkStart w:id="1" w:name="_Hlk90902112"/>
    </w:p>
    <w:p w14:paraId="3B0F45A1" w14:textId="77777777" w:rsidR="00E619BC" w:rsidRDefault="001B6ED8">
      <w:pPr>
        <w:spacing w:afterLines="50" w:after="156" w:line="360" w:lineRule="auto"/>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、进入专业后无任何课程缺考和不及格者，</w:t>
      </w:r>
      <w:bookmarkStart w:id="2" w:name="_Hlk91510566"/>
      <w:r>
        <w:rPr>
          <w:rFonts w:ascii="仿宋" w:eastAsia="仿宋" w:hAnsi="仿宋" w:cs="Times New Roman" w:hint="eastAsia"/>
          <w:sz w:val="32"/>
          <w:szCs w:val="32"/>
        </w:rPr>
        <w:t>无任何学籍异动情况（休学、复学、保留学籍）。</w:t>
      </w:r>
      <w:bookmarkEnd w:id="2"/>
    </w:p>
    <w:bookmarkEnd w:id="0"/>
    <w:bookmarkEnd w:id="1"/>
    <w:p w14:paraId="53EF046F" w14:textId="77777777" w:rsidR="00E619BC" w:rsidRDefault="00E619BC">
      <w:pPr>
        <w:spacing w:line="480" w:lineRule="auto"/>
        <w:rPr>
          <w:rFonts w:ascii="仿宋" w:eastAsia="仿宋" w:hAnsi="仿宋" w:cs="Times New Roman"/>
          <w:b/>
          <w:sz w:val="32"/>
          <w:szCs w:val="32"/>
        </w:rPr>
      </w:pPr>
    </w:p>
    <w:p w14:paraId="1389F317" w14:textId="77777777" w:rsidR="00E619BC" w:rsidRDefault="001B6ED8">
      <w:pPr>
        <w:spacing w:line="480" w:lineRule="auto"/>
        <w:rPr>
          <w:rFonts w:ascii="仿宋" w:eastAsia="仿宋" w:hAnsi="仿宋" w:cs="Times New Roman"/>
          <w:sz w:val="32"/>
          <w:szCs w:val="32"/>
        </w:rPr>
      </w:pPr>
      <w:r>
        <w:rPr>
          <w:rFonts w:ascii="仿宋" w:eastAsia="仿宋" w:hAnsi="仿宋" w:cs="Times New Roman" w:hint="eastAsia"/>
          <w:b/>
          <w:sz w:val="32"/>
          <w:szCs w:val="32"/>
        </w:rPr>
        <w:t>排名方式：</w:t>
      </w:r>
      <w:r>
        <w:rPr>
          <w:rFonts w:ascii="仿宋" w:eastAsia="仿宋" w:hAnsi="仿宋" w:cs="Times New Roman" w:hint="eastAsia"/>
          <w:sz w:val="32"/>
          <w:szCs w:val="32"/>
        </w:rPr>
        <w:t>综合成绩排名（3位整数，2位小数）</w:t>
      </w:r>
    </w:p>
    <w:p w14:paraId="2E3F67E3" w14:textId="77777777" w:rsidR="00E619BC" w:rsidRDefault="001B6ED8">
      <w:pPr>
        <w:spacing w:afterLines="50" w:after="156" w:line="480" w:lineRule="auto"/>
        <w:rPr>
          <w:rFonts w:ascii="仿宋" w:eastAsia="仿宋" w:hAnsi="仿宋" w:cs="Times New Roman"/>
          <w:sz w:val="32"/>
          <w:szCs w:val="32"/>
        </w:rPr>
      </w:pPr>
      <w:r>
        <w:rPr>
          <w:rFonts w:ascii="仿宋" w:eastAsia="仿宋" w:hAnsi="仿宋" w:cs="Times New Roman" w:hint="eastAsia"/>
          <w:b/>
          <w:sz w:val="32"/>
          <w:szCs w:val="32"/>
        </w:rPr>
        <w:t>排名范围：</w:t>
      </w:r>
      <w:r>
        <w:rPr>
          <w:rFonts w:ascii="仿宋" w:eastAsia="仿宋" w:hAnsi="仿宋" w:cs="Times New Roman" w:hint="eastAsia"/>
          <w:sz w:val="32"/>
          <w:szCs w:val="32"/>
        </w:rPr>
        <w:t>专业排名（G</w:t>
      </w:r>
      <w:r>
        <w:rPr>
          <w:rFonts w:ascii="仿宋" w:eastAsia="仿宋" w:hAnsi="仿宋" w:cs="Times New Roman"/>
          <w:sz w:val="32"/>
          <w:szCs w:val="32"/>
        </w:rPr>
        <w:t>PA</w:t>
      </w:r>
      <w:r>
        <w:rPr>
          <w:rFonts w:ascii="仿宋" w:eastAsia="仿宋" w:hAnsi="仿宋" w:cs="Times New Roman" w:hint="eastAsia"/>
          <w:sz w:val="32"/>
          <w:szCs w:val="32"/>
        </w:rPr>
        <w:t>≥</w:t>
      </w:r>
      <w:r>
        <w:rPr>
          <w:rFonts w:ascii="仿宋" w:eastAsia="仿宋" w:hAnsi="仿宋" w:cs="Times New Roman"/>
          <w:sz w:val="32"/>
          <w:szCs w:val="32"/>
        </w:rPr>
        <w:t>3.0</w:t>
      </w:r>
      <w:r>
        <w:rPr>
          <w:rFonts w:ascii="仿宋" w:eastAsia="仿宋" w:hAnsi="仿宋" w:cs="Times New Roman" w:hint="eastAsia"/>
          <w:sz w:val="32"/>
          <w:szCs w:val="32"/>
        </w:rPr>
        <w:t>）</w:t>
      </w:r>
    </w:p>
    <w:p w14:paraId="51814196" w14:textId="77777777" w:rsidR="00E619BC" w:rsidRDefault="00E619BC">
      <w:pPr>
        <w:spacing w:line="480" w:lineRule="auto"/>
        <w:rPr>
          <w:rFonts w:ascii="仿宋" w:eastAsia="仿宋" w:hAnsi="仿宋" w:cs="Times New Roman"/>
          <w:b/>
          <w:sz w:val="32"/>
          <w:szCs w:val="32"/>
        </w:rPr>
      </w:pPr>
    </w:p>
    <w:p w14:paraId="66BDF454" w14:textId="77777777" w:rsidR="00E619BC" w:rsidRDefault="001B6ED8">
      <w:pPr>
        <w:spacing w:line="480" w:lineRule="auto"/>
        <w:rPr>
          <w:rFonts w:ascii="仿宋" w:eastAsia="仿宋" w:hAnsi="仿宋" w:cs="Times New Roman"/>
          <w:b/>
          <w:sz w:val="32"/>
          <w:szCs w:val="32"/>
        </w:rPr>
      </w:pPr>
      <w:r>
        <w:rPr>
          <w:rFonts w:ascii="仿宋" w:eastAsia="仿宋" w:hAnsi="仿宋" w:cs="Times New Roman" w:hint="eastAsia"/>
          <w:b/>
          <w:sz w:val="32"/>
          <w:szCs w:val="32"/>
        </w:rPr>
        <w:lastRenderedPageBreak/>
        <w:t>综合成绩计算方法</w:t>
      </w:r>
    </w:p>
    <w:p w14:paraId="20531661" w14:textId="1C408A16" w:rsidR="00E619BC" w:rsidRDefault="001B6ED8">
      <w:pPr>
        <w:spacing w:line="480" w:lineRule="auto"/>
        <w:rPr>
          <w:rFonts w:ascii="仿宋" w:eastAsia="仿宋" w:hAnsi="仿宋" w:cs="Times New Roman"/>
          <w:sz w:val="32"/>
          <w:szCs w:val="32"/>
        </w:rPr>
      </w:pPr>
      <w:bookmarkStart w:id="3" w:name="_Hlk91666382"/>
      <w:r>
        <w:rPr>
          <w:rFonts w:ascii="仿宋" w:eastAsia="仿宋" w:hAnsi="仿宋" w:cs="Times New Roman" w:hint="eastAsia"/>
          <w:sz w:val="32"/>
          <w:szCs w:val="32"/>
        </w:rPr>
        <w:t>组成部分：总</w:t>
      </w:r>
      <w:r>
        <w:rPr>
          <w:rFonts w:ascii="仿宋" w:eastAsia="仿宋" w:hAnsi="仿宋" w:cs="Times New Roman"/>
          <w:sz w:val="32"/>
          <w:szCs w:val="32"/>
        </w:rPr>
        <w:t>GPA</w:t>
      </w:r>
      <w:r>
        <w:rPr>
          <w:rFonts w:ascii="仿宋" w:eastAsia="仿宋" w:hAnsi="仿宋" w:cs="Times New Roman" w:hint="eastAsia"/>
          <w:sz w:val="32"/>
          <w:szCs w:val="32"/>
        </w:rPr>
        <w:t>占</w:t>
      </w:r>
      <w:r>
        <w:rPr>
          <w:rFonts w:ascii="仿宋" w:eastAsia="仿宋" w:hAnsi="仿宋" w:cs="Times New Roman"/>
          <w:sz w:val="32"/>
          <w:szCs w:val="32"/>
        </w:rPr>
        <w:t>80</w:t>
      </w:r>
      <w:r>
        <w:rPr>
          <w:rFonts w:ascii="仿宋" w:eastAsia="仿宋" w:hAnsi="仿宋" w:cs="Times New Roman" w:hint="eastAsia"/>
          <w:sz w:val="32"/>
          <w:szCs w:val="32"/>
        </w:rPr>
        <w:t>%，学术专长占10%，综合</w:t>
      </w:r>
      <w:r w:rsidR="00950F12">
        <w:rPr>
          <w:rFonts w:ascii="仿宋" w:eastAsia="仿宋" w:hAnsi="仿宋" w:cs="Times New Roman" w:hint="eastAsia"/>
          <w:sz w:val="32"/>
          <w:szCs w:val="32"/>
        </w:rPr>
        <w:t>测评</w:t>
      </w:r>
      <w:r>
        <w:rPr>
          <w:rFonts w:ascii="仿宋" w:eastAsia="仿宋" w:hAnsi="仿宋" w:cs="Times New Roman" w:hint="eastAsia"/>
          <w:sz w:val="32"/>
          <w:szCs w:val="32"/>
        </w:rPr>
        <w:t>占</w:t>
      </w:r>
      <w:r w:rsidR="00950F12">
        <w:rPr>
          <w:rFonts w:ascii="仿宋" w:eastAsia="仿宋" w:hAnsi="仿宋" w:cs="Times New Roman"/>
          <w:sz w:val="32"/>
          <w:szCs w:val="32"/>
        </w:rPr>
        <w:t>10</w:t>
      </w:r>
      <w:r>
        <w:rPr>
          <w:rFonts w:ascii="仿宋" w:eastAsia="仿宋" w:hAnsi="仿宋" w:cs="Times New Roman" w:hint="eastAsia"/>
          <w:sz w:val="32"/>
          <w:szCs w:val="32"/>
        </w:rPr>
        <w:t>%。</w:t>
      </w:r>
    </w:p>
    <w:bookmarkEnd w:id="3"/>
    <w:p w14:paraId="2E8E553D" w14:textId="49F4CFCA" w:rsidR="00E619BC" w:rsidRDefault="001B6ED8">
      <w:pPr>
        <w:spacing w:afterLines="50" w:after="156" w:line="480" w:lineRule="auto"/>
        <w:rPr>
          <w:rFonts w:ascii="仿宋" w:eastAsia="仿宋" w:hAnsi="仿宋" w:cs="Times New Roman"/>
          <w:sz w:val="32"/>
          <w:szCs w:val="32"/>
        </w:rPr>
      </w:pPr>
      <w:r>
        <w:rPr>
          <w:rFonts w:ascii="仿宋" w:eastAsia="仿宋" w:hAnsi="仿宋" w:cs="Times New Roman" w:hint="eastAsia"/>
          <w:sz w:val="32"/>
          <w:szCs w:val="32"/>
        </w:rPr>
        <w:t>算式：综合成绩算式</w:t>
      </w:r>
      <w:r>
        <w:rPr>
          <w:rFonts w:ascii="仿宋" w:eastAsia="仿宋" w:hAnsi="仿宋" w:cs="Times New Roman"/>
          <w:sz w:val="32"/>
          <w:szCs w:val="32"/>
        </w:rPr>
        <w:t>=</w:t>
      </w:r>
      <w:r>
        <w:rPr>
          <w:rFonts w:ascii="仿宋" w:eastAsia="仿宋" w:hAnsi="仿宋" w:cs="Times New Roman" w:hint="eastAsia"/>
          <w:sz w:val="32"/>
          <w:szCs w:val="32"/>
        </w:rPr>
        <w:t>总</w:t>
      </w:r>
      <w:r>
        <w:rPr>
          <w:rFonts w:ascii="仿宋" w:eastAsia="仿宋" w:hAnsi="仿宋" w:cs="Times New Roman"/>
          <w:sz w:val="32"/>
          <w:szCs w:val="32"/>
        </w:rPr>
        <w:t>GPA/4 X 80+</w:t>
      </w:r>
      <w:r>
        <w:rPr>
          <w:rFonts w:ascii="仿宋" w:eastAsia="仿宋" w:hAnsi="仿宋" w:cs="Times New Roman" w:hint="eastAsia"/>
          <w:sz w:val="32"/>
          <w:szCs w:val="32"/>
        </w:rPr>
        <w:t>学术专长评分</w:t>
      </w:r>
      <w:r>
        <w:rPr>
          <w:rFonts w:ascii="仿宋" w:eastAsia="仿宋" w:hAnsi="仿宋" w:cs="Times New Roman"/>
          <w:sz w:val="32"/>
          <w:szCs w:val="32"/>
        </w:rPr>
        <w:t>+</w:t>
      </w:r>
      <w:r w:rsidR="0017689D">
        <w:rPr>
          <w:rFonts w:ascii="仿宋" w:eastAsia="仿宋" w:hAnsi="仿宋" w:cs="Times New Roman" w:hint="eastAsia"/>
          <w:sz w:val="32"/>
          <w:szCs w:val="32"/>
        </w:rPr>
        <w:t>综合测</w:t>
      </w:r>
      <w:r>
        <w:rPr>
          <w:rFonts w:ascii="仿宋" w:eastAsia="仿宋" w:hAnsi="仿宋" w:cs="Times New Roman" w:hint="eastAsia"/>
          <w:sz w:val="32"/>
          <w:szCs w:val="32"/>
        </w:rPr>
        <w:t>评分。</w:t>
      </w:r>
    </w:p>
    <w:p w14:paraId="2568E25F" w14:textId="77777777" w:rsidR="00E619BC" w:rsidRPr="0017689D" w:rsidRDefault="00E619BC">
      <w:pPr>
        <w:spacing w:line="480" w:lineRule="auto"/>
        <w:rPr>
          <w:rFonts w:ascii="仿宋" w:eastAsia="仿宋" w:hAnsi="仿宋" w:cs="Times New Roman"/>
          <w:b/>
          <w:sz w:val="32"/>
          <w:szCs w:val="32"/>
        </w:rPr>
      </w:pPr>
    </w:p>
    <w:p w14:paraId="43C12EDA" w14:textId="77777777" w:rsidR="00E619BC" w:rsidRDefault="001B6ED8">
      <w:pPr>
        <w:spacing w:line="480" w:lineRule="auto"/>
        <w:rPr>
          <w:rFonts w:ascii="仿宋" w:eastAsia="仿宋" w:hAnsi="仿宋" w:cs="Times New Roman"/>
          <w:b/>
          <w:sz w:val="32"/>
          <w:szCs w:val="32"/>
        </w:rPr>
      </w:pPr>
      <w:r>
        <w:rPr>
          <w:rFonts w:ascii="仿宋" w:eastAsia="仿宋" w:hAnsi="仿宋" w:cs="Times New Roman" w:hint="eastAsia"/>
          <w:b/>
          <w:sz w:val="32"/>
          <w:szCs w:val="32"/>
        </w:rPr>
        <w:t>学业成绩范围：</w:t>
      </w:r>
    </w:p>
    <w:p w14:paraId="652F40F4" w14:textId="77777777" w:rsidR="00E619BC" w:rsidRDefault="001B6ED8">
      <w:pPr>
        <w:spacing w:line="480" w:lineRule="auto"/>
        <w:rPr>
          <w:rFonts w:ascii="仿宋" w:eastAsia="仿宋" w:hAnsi="仿宋" w:cs="Times New Roman"/>
          <w:bCs/>
          <w:sz w:val="32"/>
          <w:szCs w:val="32"/>
        </w:rPr>
      </w:pPr>
      <w:r>
        <w:rPr>
          <w:rFonts w:ascii="仿宋" w:eastAsia="仿宋" w:hAnsi="仿宋" w:cs="Times New Roman"/>
          <w:bCs/>
          <w:sz w:val="32"/>
          <w:szCs w:val="32"/>
        </w:rPr>
        <w:t>1</w:t>
      </w:r>
      <w:r>
        <w:rPr>
          <w:rFonts w:ascii="仿宋" w:eastAsia="仿宋" w:hAnsi="仿宋" w:cs="Times New Roman" w:hint="eastAsia"/>
          <w:bCs/>
          <w:sz w:val="32"/>
          <w:szCs w:val="32"/>
        </w:rPr>
        <w:t>、总G</w:t>
      </w:r>
      <w:r>
        <w:rPr>
          <w:rFonts w:ascii="仿宋" w:eastAsia="仿宋" w:hAnsi="仿宋" w:cs="Times New Roman"/>
          <w:bCs/>
          <w:sz w:val="32"/>
          <w:szCs w:val="32"/>
        </w:rPr>
        <w:t>PA</w:t>
      </w:r>
      <w:r>
        <w:rPr>
          <w:rFonts w:ascii="仿宋" w:eastAsia="仿宋" w:hAnsi="仿宋" w:cs="Times New Roman" w:hint="eastAsia"/>
          <w:bCs/>
          <w:sz w:val="32"/>
          <w:szCs w:val="32"/>
        </w:rPr>
        <w:t>：入学至2022年春季学期的期末成绩（满分</w:t>
      </w:r>
      <w:r>
        <w:rPr>
          <w:rFonts w:ascii="仿宋" w:eastAsia="仿宋" w:hAnsi="仿宋" w:cs="Times New Roman"/>
          <w:bCs/>
          <w:sz w:val="32"/>
          <w:szCs w:val="32"/>
        </w:rPr>
        <w:t>80</w:t>
      </w:r>
      <w:r>
        <w:rPr>
          <w:rFonts w:ascii="仿宋" w:eastAsia="仿宋" w:hAnsi="仿宋" w:cs="Times New Roman" w:hint="eastAsia"/>
          <w:bCs/>
          <w:sz w:val="32"/>
          <w:szCs w:val="32"/>
        </w:rPr>
        <w:t>分）。</w:t>
      </w:r>
    </w:p>
    <w:p w14:paraId="60DBAFB9" w14:textId="77777777" w:rsidR="00E619BC" w:rsidRDefault="001B6ED8">
      <w:pPr>
        <w:spacing w:line="480" w:lineRule="auto"/>
        <w:rPr>
          <w:rFonts w:ascii="仿宋" w:eastAsia="仿宋" w:hAnsi="仿宋" w:cs="Times New Roman"/>
          <w:bCs/>
          <w:sz w:val="32"/>
          <w:szCs w:val="32"/>
        </w:rPr>
      </w:pPr>
      <w:r>
        <w:rPr>
          <w:rFonts w:ascii="仿宋" w:eastAsia="仿宋" w:hAnsi="仿宋" w:cs="Times New Roman"/>
          <w:bCs/>
          <w:sz w:val="32"/>
          <w:szCs w:val="32"/>
        </w:rPr>
        <w:t>2</w:t>
      </w:r>
      <w:r>
        <w:rPr>
          <w:rFonts w:ascii="仿宋" w:eastAsia="仿宋" w:hAnsi="仿宋" w:cs="Times New Roman" w:hint="eastAsia"/>
          <w:bCs/>
          <w:sz w:val="32"/>
          <w:szCs w:val="32"/>
        </w:rPr>
        <w:t>、学术专长：学生本科阶段在核心期刊上以独立作者或第一作者发表的与学业相关的科研论文；作为主力成员参加与学业相关的国内权威科研竞赛（全国赛）并获得三等奖及以上奖励（国际赛事参照执行，但不得低于国内赛事相关要求）（满分1</w:t>
      </w:r>
      <w:r>
        <w:rPr>
          <w:rFonts w:ascii="仿宋" w:eastAsia="仿宋" w:hAnsi="仿宋" w:cs="Times New Roman"/>
          <w:bCs/>
          <w:sz w:val="32"/>
          <w:szCs w:val="32"/>
        </w:rPr>
        <w:t>0</w:t>
      </w:r>
      <w:r>
        <w:rPr>
          <w:rFonts w:ascii="仿宋" w:eastAsia="仿宋" w:hAnsi="仿宋" w:cs="Times New Roman" w:hint="eastAsia"/>
          <w:bCs/>
          <w:sz w:val="32"/>
          <w:szCs w:val="32"/>
        </w:rPr>
        <w:t>分）。</w:t>
      </w:r>
    </w:p>
    <w:p w14:paraId="4F302ACB" w14:textId="02023474" w:rsidR="00E619BC" w:rsidRDefault="001B6ED8">
      <w:pPr>
        <w:spacing w:line="480" w:lineRule="auto"/>
        <w:rPr>
          <w:rFonts w:ascii="仿宋" w:eastAsia="仿宋" w:hAnsi="仿宋" w:cs="Times New Roman"/>
          <w:bCs/>
          <w:sz w:val="32"/>
          <w:szCs w:val="32"/>
        </w:rPr>
      </w:pPr>
      <w:r>
        <w:rPr>
          <w:rFonts w:ascii="仿宋" w:eastAsia="仿宋" w:hAnsi="仿宋" w:cs="Times New Roman" w:hint="eastAsia"/>
          <w:bCs/>
          <w:sz w:val="32"/>
          <w:szCs w:val="32"/>
        </w:rPr>
        <w:t>3、</w:t>
      </w:r>
      <w:r w:rsidR="0017689D">
        <w:rPr>
          <w:rFonts w:ascii="仿宋" w:eastAsia="仿宋" w:hAnsi="仿宋" w:cs="Times New Roman" w:hint="eastAsia"/>
          <w:bCs/>
          <w:sz w:val="32"/>
          <w:szCs w:val="32"/>
        </w:rPr>
        <w:t>综合测</w:t>
      </w:r>
      <w:r>
        <w:rPr>
          <w:rFonts w:ascii="仿宋" w:eastAsia="仿宋" w:hAnsi="仿宋" w:cs="Times New Roman" w:hint="eastAsia"/>
          <w:bCs/>
          <w:sz w:val="32"/>
          <w:szCs w:val="32"/>
        </w:rPr>
        <w:t>评分：由</w:t>
      </w:r>
      <w:r w:rsidR="0017689D">
        <w:rPr>
          <w:rFonts w:ascii="仿宋" w:eastAsia="仿宋" w:hAnsi="仿宋" w:cs="Times New Roman" w:hint="eastAsia"/>
          <w:bCs/>
          <w:sz w:val="32"/>
          <w:szCs w:val="32"/>
        </w:rPr>
        <w:t>学生工作部</w:t>
      </w:r>
      <w:r>
        <w:rPr>
          <w:rFonts w:ascii="仿宋" w:eastAsia="仿宋" w:hAnsi="仿宋" w:cs="Times New Roman" w:hint="eastAsia"/>
          <w:bCs/>
          <w:sz w:val="32"/>
          <w:szCs w:val="32"/>
        </w:rPr>
        <w:t>评分</w:t>
      </w:r>
      <w:r w:rsidR="0017689D">
        <w:rPr>
          <w:rFonts w:ascii="仿宋" w:eastAsia="仿宋" w:hAnsi="仿宋" w:cs="Times New Roman" w:hint="eastAsia"/>
          <w:bCs/>
          <w:sz w:val="32"/>
          <w:szCs w:val="32"/>
        </w:rPr>
        <w:t>，具体细则详见学生工作部通知</w:t>
      </w:r>
      <w:r>
        <w:rPr>
          <w:rFonts w:ascii="仿宋" w:eastAsia="仿宋" w:hAnsi="仿宋" w:cs="Times New Roman" w:hint="eastAsia"/>
          <w:bCs/>
          <w:sz w:val="32"/>
          <w:szCs w:val="32"/>
        </w:rPr>
        <w:t>（满分</w:t>
      </w:r>
      <w:r w:rsidR="0017689D">
        <w:rPr>
          <w:rFonts w:ascii="仿宋" w:eastAsia="仿宋" w:hAnsi="仿宋" w:cs="Times New Roman"/>
          <w:bCs/>
          <w:sz w:val="32"/>
          <w:szCs w:val="32"/>
        </w:rPr>
        <w:t>10</w:t>
      </w:r>
      <w:r>
        <w:rPr>
          <w:rFonts w:ascii="仿宋" w:eastAsia="仿宋" w:hAnsi="仿宋" w:cs="Times New Roman" w:hint="eastAsia"/>
          <w:bCs/>
          <w:sz w:val="32"/>
          <w:szCs w:val="32"/>
        </w:rPr>
        <w:t>分）。</w:t>
      </w:r>
    </w:p>
    <w:p w14:paraId="05E69633" w14:textId="77777777" w:rsidR="00E619BC" w:rsidRDefault="00E619BC">
      <w:pPr>
        <w:spacing w:line="480" w:lineRule="auto"/>
        <w:rPr>
          <w:rFonts w:ascii="仿宋" w:eastAsia="仿宋" w:hAnsi="仿宋" w:cs="Times New Roman"/>
          <w:bCs/>
          <w:sz w:val="32"/>
          <w:szCs w:val="32"/>
        </w:rPr>
      </w:pPr>
    </w:p>
    <w:p w14:paraId="7A1CDDF1" w14:textId="77777777" w:rsidR="00E619BC" w:rsidRDefault="001B6ED8">
      <w:pPr>
        <w:spacing w:line="480" w:lineRule="auto"/>
        <w:rPr>
          <w:rFonts w:ascii="仿宋" w:eastAsia="仿宋" w:hAnsi="仿宋" w:cs="Times New Roman"/>
          <w:b/>
          <w:bCs/>
          <w:sz w:val="32"/>
          <w:szCs w:val="32"/>
        </w:rPr>
      </w:pPr>
      <w:r>
        <w:rPr>
          <w:rFonts w:ascii="仿宋" w:eastAsia="仿宋" w:hAnsi="仿宋" w:cs="Times New Roman" w:hint="eastAsia"/>
          <w:b/>
          <w:bCs/>
          <w:sz w:val="32"/>
          <w:szCs w:val="32"/>
        </w:rPr>
        <w:t>注：</w:t>
      </w:r>
    </w:p>
    <w:p w14:paraId="407B6854" w14:textId="77777777" w:rsidR="00E619BC" w:rsidRDefault="001B6ED8">
      <w:pPr>
        <w:spacing w:line="480" w:lineRule="auto"/>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bookmarkStart w:id="4" w:name="_Hlk90893494"/>
      <w:r>
        <w:rPr>
          <w:rFonts w:ascii="仿宋" w:eastAsia="仿宋" w:hAnsi="仿宋" w:cs="Times New Roman" w:hint="eastAsia"/>
          <w:sz w:val="32"/>
          <w:szCs w:val="32"/>
        </w:rPr>
        <w:t>学术专长审核制度：</w:t>
      </w:r>
    </w:p>
    <w:p w14:paraId="595E2911" w14:textId="77777777" w:rsidR="00E619BC" w:rsidRDefault="001B6ED8">
      <w:pPr>
        <w:spacing w:line="480"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申请流程：</w:t>
      </w:r>
    </w:p>
    <w:p w14:paraId="0C5A671E" w14:textId="77777777"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学生本人提出申请，提供能够说明其科研论文、科研竞赛的证明材料。医学院成立专家审核小组对申请推免资格学生的提交的学术专长进行审核鉴定，排除抄袭、造假、冒名及有名无实等情况，并组织相关学生在一定范围内进行公开</w:t>
      </w:r>
      <w:r>
        <w:rPr>
          <w:rFonts w:ascii="仿宋" w:eastAsia="仿宋" w:hAnsi="仿宋" w:cs="Times New Roman" w:hint="eastAsia"/>
          <w:sz w:val="32"/>
          <w:szCs w:val="32"/>
        </w:rPr>
        <w:lastRenderedPageBreak/>
        <w:t>答辩。通过答辩审核鉴定的学生学术专长，需通过公示后计入综合成绩。未通过审核鉴定的，不得纳入推免连选综合评价成绩计算体系。</w:t>
      </w:r>
    </w:p>
    <w:p w14:paraId="033299A2" w14:textId="77777777"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学生与直系亲属或学历、职称、职务明显高于本人者合作的科研成果、竞赛奖项等仅作为参考，不纳入学生本人推免逃选综合评价成绩计算体系，同等条件下可优先考虑。</w:t>
      </w:r>
    </w:p>
    <w:p w14:paraId="473C8403" w14:textId="77777777" w:rsidR="00E619BC" w:rsidRDefault="001B6ED8">
      <w:pPr>
        <w:spacing w:line="480" w:lineRule="auto"/>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学术专长计分规则：（此项最高</w:t>
      </w:r>
      <w:r>
        <w:rPr>
          <w:rFonts w:ascii="仿宋" w:eastAsia="仿宋" w:hAnsi="仿宋" w:cs="Times New Roman"/>
          <w:b/>
          <w:bCs/>
          <w:sz w:val="32"/>
          <w:szCs w:val="32"/>
        </w:rPr>
        <w:t>10</w:t>
      </w:r>
      <w:r>
        <w:rPr>
          <w:rFonts w:ascii="仿宋" w:eastAsia="仿宋" w:hAnsi="仿宋" w:cs="Times New Roman" w:hint="eastAsia"/>
          <w:b/>
          <w:bCs/>
          <w:sz w:val="32"/>
          <w:szCs w:val="32"/>
        </w:rPr>
        <w:t>分，若最终得分超过</w:t>
      </w:r>
      <w:r>
        <w:rPr>
          <w:rFonts w:ascii="仿宋" w:eastAsia="仿宋" w:hAnsi="仿宋" w:cs="Times New Roman"/>
          <w:b/>
          <w:bCs/>
          <w:sz w:val="32"/>
          <w:szCs w:val="32"/>
        </w:rPr>
        <w:t>10</w:t>
      </w:r>
      <w:r>
        <w:rPr>
          <w:rFonts w:ascii="仿宋" w:eastAsia="仿宋" w:hAnsi="仿宋" w:cs="Times New Roman" w:hint="eastAsia"/>
          <w:b/>
          <w:bCs/>
          <w:sz w:val="32"/>
          <w:szCs w:val="32"/>
        </w:rPr>
        <w:t>分按</w:t>
      </w:r>
      <w:r>
        <w:rPr>
          <w:rFonts w:ascii="仿宋" w:eastAsia="仿宋" w:hAnsi="仿宋" w:cs="Times New Roman"/>
          <w:b/>
          <w:bCs/>
          <w:sz w:val="32"/>
          <w:szCs w:val="32"/>
        </w:rPr>
        <w:t>10</w:t>
      </w:r>
      <w:r>
        <w:rPr>
          <w:rFonts w:ascii="仿宋" w:eastAsia="仿宋" w:hAnsi="仿宋" w:cs="Times New Roman" w:hint="eastAsia"/>
          <w:b/>
          <w:bCs/>
          <w:sz w:val="32"/>
          <w:szCs w:val="32"/>
        </w:rPr>
        <w:t>分计算）</w:t>
      </w:r>
    </w:p>
    <w:p w14:paraId="77A14EB7" w14:textId="77777777"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1）、科研论文计分规则如下：</w:t>
      </w:r>
    </w:p>
    <w:p w14:paraId="0255BB58" w14:textId="6DF5CA49"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学生本科阶段在核心期刊上以独立作者或第一作者发表的与学业相关的科研论文。</w:t>
      </w:r>
      <w:r w:rsidR="00D400EA">
        <w:rPr>
          <w:rFonts w:ascii="仿宋" w:eastAsia="仿宋" w:hAnsi="仿宋" w:cs="Times New Roman" w:hint="eastAsia"/>
          <w:sz w:val="32"/>
          <w:szCs w:val="32"/>
        </w:rPr>
        <w:t>（</w:t>
      </w:r>
      <w:r w:rsidR="00D400EA" w:rsidRPr="00D400EA">
        <w:rPr>
          <w:rFonts w:ascii="仿宋" w:eastAsia="仿宋" w:hAnsi="仿宋" w:cs="Times New Roman" w:hint="eastAsia"/>
          <w:sz w:val="32"/>
          <w:szCs w:val="32"/>
        </w:rPr>
        <w:t>此项最高</w:t>
      </w:r>
      <w:r w:rsidR="00D400EA">
        <w:rPr>
          <w:rFonts w:ascii="仿宋" w:eastAsia="仿宋" w:hAnsi="仿宋" w:cs="Times New Roman"/>
          <w:sz w:val="32"/>
          <w:szCs w:val="32"/>
        </w:rPr>
        <w:t>6</w:t>
      </w:r>
      <w:r w:rsidR="00D400EA" w:rsidRPr="00D400EA">
        <w:rPr>
          <w:rFonts w:ascii="仿宋" w:eastAsia="仿宋" w:hAnsi="仿宋" w:cs="Times New Roman"/>
          <w:sz w:val="32"/>
          <w:szCs w:val="32"/>
        </w:rPr>
        <w:t>分，若最终得分超过</w:t>
      </w:r>
      <w:r w:rsidR="00D400EA">
        <w:rPr>
          <w:rFonts w:ascii="仿宋" w:eastAsia="仿宋" w:hAnsi="仿宋" w:cs="Times New Roman"/>
          <w:sz w:val="32"/>
          <w:szCs w:val="32"/>
        </w:rPr>
        <w:t>6</w:t>
      </w:r>
      <w:r w:rsidR="00D400EA" w:rsidRPr="00D400EA">
        <w:rPr>
          <w:rFonts w:ascii="仿宋" w:eastAsia="仿宋" w:hAnsi="仿宋" w:cs="Times New Roman"/>
          <w:sz w:val="32"/>
          <w:szCs w:val="32"/>
        </w:rPr>
        <w:t>分按</w:t>
      </w:r>
      <w:r w:rsidR="00D400EA">
        <w:rPr>
          <w:rFonts w:ascii="仿宋" w:eastAsia="仿宋" w:hAnsi="仿宋" w:cs="Times New Roman"/>
          <w:sz w:val="32"/>
          <w:szCs w:val="32"/>
        </w:rPr>
        <w:t>6</w:t>
      </w:r>
      <w:r w:rsidR="00D400EA" w:rsidRPr="00D400EA">
        <w:rPr>
          <w:rFonts w:ascii="仿宋" w:eastAsia="仿宋" w:hAnsi="仿宋" w:cs="Times New Roman"/>
          <w:sz w:val="32"/>
          <w:szCs w:val="32"/>
        </w:rPr>
        <w:t>分计算</w:t>
      </w:r>
      <w:r w:rsidR="00D400EA">
        <w:rPr>
          <w:rFonts w:ascii="仿宋" w:eastAsia="仿宋" w:hAnsi="仿宋"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2294"/>
      </w:tblGrid>
      <w:tr w:rsidR="00E619BC" w14:paraId="373F8E0B" w14:textId="77777777">
        <w:tc>
          <w:tcPr>
            <w:tcW w:w="6228" w:type="dxa"/>
            <w:shd w:val="clear" w:color="auto" w:fill="auto"/>
            <w:vAlign w:val="center"/>
          </w:tcPr>
          <w:p w14:paraId="2E00D1FF"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论文及专利类型</w:t>
            </w:r>
          </w:p>
        </w:tc>
        <w:tc>
          <w:tcPr>
            <w:tcW w:w="2294" w:type="dxa"/>
            <w:shd w:val="clear" w:color="auto" w:fill="auto"/>
            <w:vAlign w:val="center"/>
          </w:tcPr>
          <w:p w14:paraId="7084F1DD"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积分</w:t>
            </w:r>
          </w:p>
        </w:tc>
      </w:tr>
      <w:tr w:rsidR="00E619BC" w14:paraId="28D1F123" w14:textId="77777777">
        <w:trPr>
          <w:trHeight w:val="458"/>
        </w:trPr>
        <w:tc>
          <w:tcPr>
            <w:tcW w:w="6228" w:type="dxa"/>
            <w:shd w:val="clear" w:color="auto" w:fill="auto"/>
            <w:vAlign w:val="center"/>
          </w:tcPr>
          <w:p w14:paraId="1C38FF0F"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JCR一区SCI论文</w:t>
            </w:r>
          </w:p>
        </w:tc>
        <w:tc>
          <w:tcPr>
            <w:tcW w:w="2294" w:type="dxa"/>
            <w:shd w:val="clear" w:color="auto" w:fill="auto"/>
            <w:vAlign w:val="center"/>
          </w:tcPr>
          <w:p w14:paraId="519DABBA" w14:textId="77777777" w:rsidR="00E619BC" w:rsidRDefault="001B6ED8">
            <w:pPr>
              <w:rPr>
                <w:rFonts w:ascii="仿宋" w:eastAsia="仿宋" w:hAnsi="仿宋"/>
                <w:color w:val="000000" w:themeColor="text1"/>
                <w:sz w:val="32"/>
                <w:szCs w:val="32"/>
              </w:rPr>
            </w:pPr>
            <w:r>
              <w:rPr>
                <w:rFonts w:ascii="仿宋" w:eastAsia="仿宋" w:hAnsi="仿宋"/>
                <w:color w:val="000000" w:themeColor="text1"/>
                <w:sz w:val="32"/>
                <w:szCs w:val="32"/>
              </w:rPr>
              <w:t>6</w:t>
            </w:r>
          </w:p>
        </w:tc>
      </w:tr>
      <w:tr w:rsidR="00E619BC" w14:paraId="1E42E091" w14:textId="77777777">
        <w:trPr>
          <w:trHeight w:val="561"/>
        </w:trPr>
        <w:tc>
          <w:tcPr>
            <w:tcW w:w="6228" w:type="dxa"/>
            <w:shd w:val="clear" w:color="auto" w:fill="auto"/>
            <w:vAlign w:val="center"/>
          </w:tcPr>
          <w:p w14:paraId="191C9B24"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JCR二区SCI论文</w:t>
            </w:r>
          </w:p>
        </w:tc>
        <w:tc>
          <w:tcPr>
            <w:tcW w:w="2294" w:type="dxa"/>
            <w:shd w:val="clear" w:color="auto" w:fill="auto"/>
            <w:vAlign w:val="center"/>
          </w:tcPr>
          <w:p w14:paraId="79787C3B" w14:textId="77777777" w:rsidR="00E619BC" w:rsidRDefault="001B6ED8">
            <w:pPr>
              <w:rPr>
                <w:rFonts w:ascii="仿宋" w:eastAsia="仿宋" w:hAnsi="仿宋"/>
                <w:color w:val="000000" w:themeColor="text1"/>
                <w:sz w:val="32"/>
                <w:szCs w:val="32"/>
              </w:rPr>
            </w:pPr>
            <w:r>
              <w:rPr>
                <w:rFonts w:ascii="仿宋" w:eastAsia="仿宋" w:hAnsi="仿宋"/>
                <w:color w:val="000000" w:themeColor="text1"/>
                <w:sz w:val="32"/>
                <w:szCs w:val="32"/>
              </w:rPr>
              <w:t>4</w:t>
            </w:r>
          </w:p>
        </w:tc>
      </w:tr>
      <w:tr w:rsidR="00E619BC" w14:paraId="48000140" w14:textId="77777777">
        <w:tc>
          <w:tcPr>
            <w:tcW w:w="6228" w:type="dxa"/>
            <w:shd w:val="clear" w:color="auto" w:fill="auto"/>
            <w:vAlign w:val="center"/>
          </w:tcPr>
          <w:p w14:paraId="06ADDB58"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JCR三区及以下SCI论文</w:t>
            </w:r>
          </w:p>
        </w:tc>
        <w:tc>
          <w:tcPr>
            <w:tcW w:w="2294" w:type="dxa"/>
            <w:shd w:val="clear" w:color="auto" w:fill="auto"/>
            <w:vAlign w:val="center"/>
          </w:tcPr>
          <w:p w14:paraId="56C46914" w14:textId="77777777" w:rsidR="00E619BC" w:rsidRDefault="001B6ED8">
            <w:pPr>
              <w:rPr>
                <w:rFonts w:ascii="仿宋" w:eastAsia="仿宋" w:hAnsi="仿宋"/>
                <w:color w:val="000000" w:themeColor="text1"/>
                <w:sz w:val="32"/>
                <w:szCs w:val="32"/>
              </w:rPr>
            </w:pPr>
            <w:r>
              <w:rPr>
                <w:rFonts w:ascii="仿宋" w:eastAsia="仿宋" w:hAnsi="仿宋"/>
                <w:color w:val="000000" w:themeColor="text1"/>
                <w:sz w:val="32"/>
                <w:szCs w:val="32"/>
              </w:rPr>
              <w:t>2</w:t>
            </w:r>
          </w:p>
        </w:tc>
      </w:tr>
      <w:tr w:rsidR="00E619BC" w14:paraId="7B7872A4" w14:textId="77777777">
        <w:trPr>
          <w:trHeight w:val="422"/>
        </w:trPr>
        <w:tc>
          <w:tcPr>
            <w:tcW w:w="6228" w:type="dxa"/>
            <w:shd w:val="clear" w:color="auto" w:fill="auto"/>
            <w:vAlign w:val="center"/>
          </w:tcPr>
          <w:p w14:paraId="433CDE0D" w14:textId="77777777" w:rsidR="00E619BC" w:rsidRDefault="001B6ED8">
            <w:pPr>
              <w:rPr>
                <w:rFonts w:ascii="仿宋" w:eastAsia="仿宋" w:hAnsi="仿宋"/>
                <w:color w:val="000000" w:themeColor="text1"/>
                <w:sz w:val="32"/>
                <w:szCs w:val="32"/>
              </w:rPr>
            </w:pPr>
            <w:r>
              <w:rPr>
                <w:rFonts w:ascii="仿宋" w:eastAsia="仿宋" w:hAnsi="仿宋" w:hint="eastAsia"/>
                <w:color w:val="000000" w:themeColor="text1"/>
                <w:sz w:val="32"/>
                <w:szCs w:val="32"/>
              </w:rPr>
              <w:t>中文核心期刊</w:t>
            </w:r>
          </w:p>
        </w:tc>
        <w:tc>
          <w:tcPr>
            <w:tcW w:w="2294" w:type="dxa"/>
            <w:shd w:val="clear" w:color="auto" w:fill="auto"/>
            <w:vAlign w:val="center"/>
          </w:tcPr>
          <w:p w14:paraId="111F5E7C" w14:textId="77777777" w:rsidR="00E619BC" w:rsidRDefault="001B6ED8">
            <w:pPr>
              <w:rPr>
                <w:rFonts w:ascii="仿宋" w:eastAsia="仿宋" w:hAnsi="仿宋"/>
                <w:color w:val="000000" w:themeColor="text1"/>
                <w:sz w:val="32"/>
                <w:szCs w:val="32"/>
              </w:rPr>
            </w:pPr>
            <w:r>
              <w:rPr>
                <w:rFonts w:ascii="仿宋" w:eastAsia="仿宋" w:hAnsi="仿宋"/>
                <w:color w:val="000000" w:themeColor="text1"/>
                <w:sz w:val="32"/>
                <w:szCs w:val="32"/>
              </w:rPr>
              <w:t>1.5</w:t>
            </w:r>
          </w:p>
        </w:tc>
      </w:tr>
    </w:tbl>
    <w:p w14:paraId="56D2F53D" w14:textId="77777777"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Pr>
          <w:rFonts w:ascii="仿宋" w:eastAsia="仿宋" w:hAnsi="仿宋" w:cs="Times New Roman" w:hint="eastAsia"/>
          <w:sz w:val="32"/>
          <w:szCs w:val="32"/>
        </w:rPr>
        <w:t>、科研竞赛计分规则如下：</w:t>
      </w:r>
    </w:p>
    <w:p w14:paraId="76170225" w14:textId="4DDAFDD5" w:rsidR="00E619BC" w:rsidRDefault="001B6ED8">
      <w:pPr>
        <w:pStyle w:val="1"/>
        <w:ind w:firstLineChars="0"/>
        <w:rPr>
          <w:rFonts w:ascii="仿宋" w:eastAsia="仿宋" w:hAnsi="仿宋"/>
          <w:sz w:val="32"/>
          <w:szCs w:val="32"/>
        </w:rPr>
      </w:pPr>
      <w:r>
        <w:rPr>
          <w:rFonts w:ascii="仿宋" w:eastAsia="仿宋" w:hAnsi="仿宋" w:hint="eastAsia"/>
          <w:sz w:val="32"/>
          <w:szCs w:val="32"/>
        </w:rPr>
        <w:t>作为主力成员参加与学业相关的国内权威科研竞赛（全国赛）并获得三等奖以上奖励（国际赛事参照执行，但不得低于国内赛事相关要求）</w:t>
      </w:r>
      <w:r w:rsidR="00D400EA">
        <w:rPr>
          <w:rFonts w:ascii="仿宋" w:eastAsia="仿宋" w:hAnsi="仿宋" w:hint="eastAsia"/>
          <w:sz w:val="32"/>
          <w:szCs w:val="32"/>
        </w:rPr>
        <w:t>（</w:t>
      </w:r>
      <w:r w:rsidR="00D400EA" w:rsidRPr="00D400EA">
        <w:rPr>
          <w:rFonts w:ascii="仿宋" w:eastAsia="仿宋" w:hAnsi="仿宋" w:hint="eastAsia"/>
          <w:sz w:val="32"/>
          <w:szCs w:val="32"/>
        </w:rPr>
        <w:t>此项最高</w:t>
      </w:r>
      <w:r w:rsidR="00D400EA">
        <w:rPr>
          <w:rFonts w:ascii="仿宋" w:eastAsia="仿宋" w:hAnsi="仿宋"/>
          <w:sz w:val="32"/>
          <w:szCs w:val="32"/>
        </w:rPr>
        <w:t>4</w:t>
      </w:r>
      <w:r w:rsidR="00D400EA" w:rsidRPr="00D400EA">
        <w:rPr>
          <w:rFonts w:ascii="仿宋" w:eastAsia="仿宋" w:hAnsi="仿宋"/>
          <w:sz w:val="32"/>
          <w:szCs w:val="32"/>
        </w:rPr>
        <w:t>分，若最终得分超过</w:t>
      </w:r>
      <w:r w:rsidR="00D400EA">
        <w:rPr>
          <w:rFonts w:ascii="仿宋" w:eastAsia="仿宋" w:hAnsi="仿宋"/>
          <w:sz w:val="32"/>
          <w:szCs w:val="32"/>
        </w:rPr>
        <w:t>4</w:t>
      </w:r>
      <w:r w:rsidR="00D400EA" w:rsidRPr="00D400EA">
        <w:rPr>
          <w:rFonts w:ascii="仿宋" w:eastAsia="仿宋" w:hAnsi="仿宋"/>
          <w:sz w:val="32"/>
          <w:szCs w:val="32"/>
        </w:rPr>
        <w:t>分按</w:t>
      </w:r>
      <w:r w:rsidR="00D400EA">
        <w:rPr>
          <w:rFonts w:ascii="仿宋" w:eastAsia="仿宋" w:hAnsi="仿宋"/>
          <w:sz w:val="32"/>
          <w:szCs w:val="32"/>
        </w:rPr>
        <w:t>4</w:t>
      </w:r>
      <w:r w:rsidR="00D400EA" w:rsidRPr="00D400EA">
        <w:rPr>
          <w:rFonts w:ascii="仿宋" w:eastAsia="仿宋" w:hAnsi="仿宋"/>
          <w:sz w:val="32"/>
          <w:szCs w:val="32"/>
        </w:rPr>
        <w:t>分计算</w:t>
      </w:r>
      <w:r w:rsidR="00D400EA">
        <w:rPr>
          <w:rFonts w:ascii="仿宋" w:eastAsia="仿宋" w:hAnsi="仿宋" w:hint="eastAsia"/>
          <w:sz w:val="32"/>
          <w:szCs w:val="32"/>
        </w:rPr>
        <w:t>）</w:t>
      </w:r>
    </w:p>
    <w:tbl>
      <w:tblPr>
        <w:tblStyle w:val="a7"/>
        <w:tblW w:w="5000" w:type="pct"/>
        <w:tblLayout w:type="fixed"/>
        <w:tblLook w:val="04A0" w:firstRow="1" w:lastRow="0" w:firstColumn="1" w:lastColumn="0" w:noHBand="0" w:noVBand="1"/>
      </w:tblPr>
      <w:tblGrid>
        <w:gridCol w:w="2841"/>
        <w:gridCol w:w="2541"/>
        <w:gridCol w:w="3140"/>
      </w:tblGrid>
      <w:tr w:rsidR="00E619BC" w14:paraId="4019B311" w14:textId="77777777">
        <w:tc>
          <w:tcPr>
            <w:tcW w:w="2841" w:type="dxa"/>
            <w:vAlign w:val="center"/>
          </w:tcPr>
          <w:p w14:paraId="6BBA2F3D"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lastRenderedPageBreak/>
              <w:t xml:space="preserve">    获奖</w:t>
            </w:r>
          </w:p>
        </w:tc>
        <w:tc>
          <w:tcPr>
            <w:tcW w:w="2541" w:type="dxa"/>
            <w:vAlign w:val="center"/>
          </w:tcPr>
          <w:p w14:paraId="60B32348"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t>分数</w:t>
            </w:r>
          </w:p>
        </w:tc>
        <w:tc>
          <w:tcPr>
            <w:tcW w:w="3140" w:type="dxa"/>
            <w:vAlign w:val="center"/>
          </w:tcPr>
          <w:p w14:paraId="535D5F31"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t>折算系数</w:t>
            </w:r>
          </w:p>
        </w:tc>
      </w:tr>
      <w:tr w:rsidR="00E619BC" w14:paraId="10E523F3" w14:textId="77777777">
        <w:tc>
          <w:tcPr>
            <w:tcW w:w="2841" w:type="dxa"/>
            <w:vAlign w:val="center"/>
          </w:tcPr>
          <w:p w14:paraId="34F76BF8"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t>最高级别</w:t>
            </w:r>
          </w:p>
        </w:tc>
        <w:tc>
          <w:tcPr>
            <w:tcW w:w="2541" w:type="dxa"/>
            <w:vAlign w:val="center"/>
          </w:tcPr>
          <w:p w14:paraId="12F5C5F0" w14:textId="77777777" w:rsidR="00E619BC" w:rsidRDefault="001B6ED8">
            <w:pPr>
              <w:pStyle w:val="1"/>
              <w:ind w:firstLineChars="0" w:firstLine="0"/>
              <w:rPr>
                <w:rFonts w:ascii="仿宋" w:eastAsia="仿宋" w:hAnsi="仿宋"/>
                <w:sz w:val="32"/>
                <w:szCs w:val="32"/>
              </w:rPr>
            </w:pPr>
            <w:r>
              <w:rPr>
                <w:rFonts w:ascii="仿宋" w:eastAsia="仿宋" w:hAnsi="仿宋"/>
                <w:sz w:val="32"/>
                <w:szCs w:val="32"/>
              </w:rPr>
              <w:t>4</w:t>
            </w:r>
          </w:p>
        </w:tc>
        <w:tc>
          <w:tcPr>
            <w:tcW w:w="3140" w:type="dxa"/>
            <w:vMerge w:val="restart"/>
          </w:tcPr>
          <w:p w14:paraId="79B74E8B" w14:textId="77777777" w:rsidR="00E619BC" w:rsidRDefault="001B6ED8">
            <w:pPr>
              <w:ind w:left="483" w:hangingChars="151" w:hanging="483"/>
              <w:jc w:val="left"/>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ab/>
              <w:t>个人参赛：</w:t>
            </w:r>
            <w:r>
              <w:rPr>
                <w:rFonts w:ascii="仿宋" w:eastAsia="仿宋" w:hAnsi="仿宋" w:cs="Times New Roman"/>
                <w:sz w:val="32"/>
                <w:szCs w:val="32"/>
              </w:rPr>
              <w:t>100</w:t>
            </w:r>
            <w:r>
              <w:rPr>
                <w:rFonts w:ascii="仿宋" w:eastAsia="仿宋" w:hAnsi="仿宋" w:cs="Times New Roman" w:hint="eastAsia"/>
                <w:sz w:val="32"/>
                <w:szCs w:val="32"/>
              </w:rPr>
              <w:t>%</w:t>
            </w:r>
          </w:p>
          <w:p w14:paraId="084D19D8"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t>(2)团体参赛：</w:t>
            </w:r>
            <w:r>
              <w:rPr>
                <w:rFonts w:ascii="仿宋" w:eastAsia="仿宋" w:hAnsi="仿宋"/>
                <w:sz w:val="32"/>
                <w:szCs w:val="32"/>
              </w:rPr>
              <w:t>80</w:t>
            </w:r>
            <w:r>
              <w:rPr>
                <w:rFonts w:ascii="仿宋" w:eastAsia="仿宋" w:hAnsi="仿宋" w:hint="eastAsia"/>
                <w:sz w:val="32"/>
                <w:szCs w:val="32"/>
              </w:rPr>
              <w:t>%</w:t>
            </w:r>
          </w:p>
        </w:tc>
      </w:tr>
      <w:tr w:rsidR="00E619BC" w14:paraId="1C32D183" w14:textId="77777777">
        <w:tc>
          <w:tcPr>
            <w:tcW w:w="2841" w:type="dxa"/>
            <w:vAlign w:val="center"/>
          </w:tcPr>
          <w:p w14:paraId="41A0E8C2" w14:textId="77777777" w:rsidR="00E619BC" w:rsidRDefault="001B6ED8">
            <w:pPr>
              <w:pStyle w:val="1"/>
              <w:ind w:firstLineChars="0" w:firstLine="0"/>
              <w:rPr>
                <w:rFonts w:ascii="仿宋" w:eastAsia="仿宋" w:hAnsi="仿宋"/>
                <w:sz w:val="32"/>
                <w:szCs w:val="32"/>
              </w:rPr>
            </w:pPr>
            <w:r>
              <w:rPr>
                <w:rFonts w:ascii="仿宋" w:eastAsia="仿宋" w:hAnsi="仿宋" w:hint="eastAsia"/>
                <w:sz w:val="32"/>
                <w:szCs w:val="32"/>
              </w:rPr>
              <w:t>第二级别</w:t>
            </w:r>
          </w:p>
        </w:tc>
        <w:tc>
          <w:tcPr>
            <w:tcW w:w="2541" w:type="dxa"/>
            <w:vAlign w:val="center"/>
          </w:tcPr>
          <w:p w14:paraId="550E3F41" w14:textId="77777777" w:rsidR="00E619BC" w:rsidRDefault="001B6ED8">
            <w:pPr>
              <w:pStyle w:val="1"/>
              <w:ind w:firstLineChars="0" w:firstLine="0"/>
              <w:rPr>
                <w:rFonts w:ascii="仿宋" w:eastAsia="仿宋" w:hAnsi="仿宋"/>
                <w:sz w:val="32"/>
                <w:szCs w:val="32"/>
              </w:rPr>
            </w:pPr>
            <w:r>
              <w:rPr>
                <w:rFonts w:ascii="仿宋" w:eastAsia="仿宋" w:hAnsi="仿宋"/>
                <w:sz w:val="32"/>
                <w:szCs w:val="32"/>
              </w:rPr>
              <w:t>3</w:t>
            </w:r>
          </w:p>
        </w:tc>
        <w:tc>
          <w:tcPr>
            <w:tcW w:w="3140" w:type="dxa"/>
            <w:vMerge/>
          </w:tcPr>
          <w:p w14:paraId="1E9D8638" w14:textId="77777777" w:rsidR="00E619BC" w:rsidRDefault="00E619BC">
            <w:pPr>
              <w:pStyle w:val="1"/>
              <w:ind w:firstLineChars="0" w:firstLine="0"/>
              <w:rPr>
                <w:rFonts w:ascii="仿宋" w:eastAsia="仿宋" w:hAnsi="仿宋"/>
                <w:sz w:val="32"/>
                <w:szCs w:val="32"/>
              </w:rPr>
            </w:pPr>
          </w:p>
        </w:tc>
      </w:tr>
      <w:tr w:rsidR="00E619BC" w14:paraId="70A28AB4" w14:textId="77777777">
        <w:tc>
          <w:tcPr>
            <w:tcW w:w="2841" w:type="dxa"/>
            <w:vAlign w:val="center"/>
          </w:tcPr>
          <w:p w14:paraId="649C46C9" w14:textId="77777777" w:rsidR="00E619BC" w:rsidRDefault="001B6ED8">
            <w:pPr>
              <w:pStyle w:val="1"/>
              <w:ind w:firstLineChars="0" w:firstLine="0"/>
              <w:rPr>
                <w:rFonts w:ascii="仿宋" w:eastAsia="仿宋" w:hAnsi="仿宋"/>
                <w:kern w:val="0"/>
                <w:sz w:val="32"/>
                <w:szCs w:val="32"/>
              </w:rPr>
            </w:pPr>
            <w:r>
              <w:rPr>
                <w:rFonts w:ascii="仿宋" w:eastAsia="仿宋" w:hAnsi="仿宋" w:hint="eastAsia"/>
                <w:kern w:val="0"/>
                <w:sz w:val="32"/>
                <w:szCs w:val="32"/>
              </w:rPr>
              <w:t>第三级别</w:t>
            </w:r>
          </w:p>
        </w:tc>
        <w:tc>
          <w:tcPr>
            <w:tcW w:w="2541" w:type="dxa"/>
            <w:vAlign w:val="center"/>
          </w:tcPr>
          <w:p w14:paraId="5A546FB3" w14:textId="77777777" w:rsidR="00E619BC" w:rsidRDefault="001B6ED8">
            <w:pPr>
              <w:pStyle w:val="1"/>
              <w:ind w:firstLineChars="0" w:firstLine="0"/>
              <w:rPr>
                <w:rFonts w:ascii="仿宋" w:eastAsia="仿宋" w:hAnsi="仿宋"/>
                <w:kern w:val="0"/>
                <w:sz w:val="32"/>
                <w:szCs w:val="32"/>
              </w:rPr>
            </w:pPr>
            <w:r>
              <w:rPr>
                <w:rFonts w:ascii="仿宋" w:eastAsia="仿宋" w:hAnsi="仿宋" w:hint="eastAsia"/>
                <w:kern w:val="0"/>
                <w:sz w:val="32"/>
                <w:szCs w:val="32"/>
              </w:rPr>
              <w:t>2</w:t>
            </w:r>
          </w:p>
        </w:tc>
        <w:tc>
          <w:tcPr>
            <w:tcW w:w="3140" w:type="dxa"/>
            <w:vMerge/>
          </w:tcPr>
          <w:p w14:paraId="744E0855" w14:textId="77777777" w:rsidR="00E619BC" w:rsidRDefault="00E619BC">
            <w:pPr>
              <w:pStyle w:val="1"/>
              <w:ind w:firstLineChars="0" w:firstLine="0"/>
              <w:rPr>
                <w:rFonts w:ascii="仿宋" w:eastAsia="仿宋" w:hAnsi="仿宋"/>
                <w:kern w:val="0"/>
                <w:sz w:val="32"/>
                <w:szCs w:val="32"/>
              </w:rPr>
            </w:pPr>
          </w:p>
        </w:tc>
      </w:tr>
    </w:tbl>
    <w:bookmarkEnd w:id="4"/>
    <w:p w14:paraId="26B015E6" w14:textId="77777777" w:rsidR="00E619BC" w:rsidRDefault="001B6ED8">
      <w:pPr>
        <w:spacing w:line="480" w:lineRule="auto"/>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、亲属回避制度：</w:t>
      </w:r>
    </w:p>
    <w:p w14:paraId="4C44F1CB" w14:textId="77777777" w:rsidR="00E619BC" w:rsidRDefault="001B6ED8">
      <w:pPr>
        <w:spacing w:line="48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推免相关工作人员有直系亲属或利益相关人员（如收费辅导教学等）报名参加本单位推免招生的应主动申请回避，有非直系亲属等报名参加推免招生的要主动报备。相关学生申请推免资格时也应主动向学院报备声明。对未按规定报备声明回避关系的推免相关工作人员，学院将依规依纪严肃处理；对未按规定报备声明回避关系且影响推免过程和结果公平公正的学生，学院将取消其推免资格</w:t>
      </w:r>
      <w:r>
        <w:rPr>
          <w:rFonts w:ascii="仿宋" w:eastAsia="仿宋" w:hAnsi="仿宋" w:cs="Times New Roman"/>
          <w:sz w:val="32"/>
          <w:szCs w:val="32"/>
        </w:rPr>
        <w:t>。</w:t>
      </w:r>
    </w:p>
    <w:p w14:paraId="0BFCDF67" w14:textId="77777777" w:rsidR="00E619BC" w:rsidRDefault="00E619BC">
      <w:pPr>
        <w:spacing w:line="480" w:lineRule="auto"/>
        <w:rPr>
          <w:rFonts w:ascii="仿宋" w:eastAsia="仿宋" w:hAnsi="仿宋" w:cs="Times New Roman"/>
          <w:sz w:val="32"/>
          <w:szCs w:val="32"/>
        </w:rPr>
      </w:pPr>
    </w:p>
    <w:p w14:paraId="3E9B6935" w14:textId="4266EE2E" w:rsidR="00E619BC" w:rsidRDefault="001B6ED8">
      <w:pPr>
        <w:rPr>
          <w:rFonts w:ascii="仿宋" w:eastAsia="仿宋" w:hAnsi="仿宋"/>
          <w:sz w:val="32"/>
          <w:szCs w:val="32"/>
        </w:rPr>
      </w:pPr>
      <w:r>
        <w:rPr>
          <w:rFonts w:ascii="仿宋" w:eastAsia="仿宋" w:hAnsi="仿宋" w:hint="eastAsia"/>
          <w:sz w:val="32"/>
          <w:szCs w:val="32"/>
        </w:rPr>
        <w:t>3、推免资格一经确定，如有因私自申请境外学校博士、硕士项目而放弃推免资格的，医学院将向相关单位出具官方信函，对学生违背诚信承诺的行为予以说明。同时，医学院将不再对其升学就业作任何推荐。</w:t>
      </w:r>
    </w:p>
    <w:sectPr w:rsidR="00E619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0707" w14:textId="77777777" w:rsidR="00646B96" w:rsidRDefault="00646B96" w:rsidP="001F033F">
      <w:r>
        <w:separator/>
      </w:r>
    </w:p>
  </w:endnote>
  <w:endnote w:type="continuationSeparator" w:id="0">
    <w:p w14:paraId="5961BBCB" w14:textId="77777777" w:rsidR="00646B96" w:rsidRDefault="00646B96" w:rsidP="001F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4719" w14:textId="77777777" w:rsidR="00646B96" w:rsidRDefault="00646B96" w:rsidP="001F033F">
      <w:r>
        <w:separator/>
      </w:r>
    </w:p>
  </w:footnote>
  <w:footnote w:type="continuationSeparator" w:id="0">
    <w:p w14:paraId="390BD472" w14:textId="77777777" w:rsidR="00646B96" w:rsidRDefault="00646B96" w:rsidP="001F0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9BC"/>
    <w:rsid w:val="0017689D"/>
    <w:rsid w:val="001B6ED8"/>
    <w:rsid w:val="001D77BF"/>
    <w:rsid w:val="001F033F"/>
    <w:rsid w:val="0049129D"/>
    <w:rsid w:val="005A3850"/>
    <w:rsid w:val="00646B96"/>
    <w:rsid w:val="00726EAC"/>
    <w:rsid w:val="00745FCC"/>
    <w:rsid w:val="00950F12"/>
    <w:rsid w:val="00B54252"/>
    <w:rsid w:val="00D400EA"/>
    <w:rsid w:val="00E6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212C0"/>
  <w15:docId w15:val="{4A2EA5BB-F20B-4A34-965E-35459E07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静</cp:lastModifiedBy>
  <cp:revision>75</cp:revision>
  <cp:lastPrinted>2019-05-05T22:40:00Z</cp:lastPrinted>
  <dcterms:created xsi:type="dcterms:W3CDTF">2019-04-24T00:24:00Z</dcterms:created>
  <dcterms:modified xsi:type="dcterms:W3CDTF">2022-06-08T06:27:00Z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DB9D037BB07604B50FB09D62C49E0572</vt:lpwstr>
  </property>
  <property fmtid="{D5CDD505-2E9C-101B-9397-08002B2CF9AE}" pid="3" name="KSOProductBuildVer">
    <vt:lpwstr>2052-11.25.0</vt:lpwstr>
  </property>
</Properties>
</file>